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tbl>
      <w:tblPr>
        <w:tblW w:w="10235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949"/>
        <w:gridCol w:w="7285"/>
      </w:tblGrid>
      <w:tr>
        <w:trPr>
          <w:trHeight w:val="326" w:hRule="atLeast"/>
        </w:trPr>
        <w:tc>
          <w:tcPr>
            <w:tcW w:w="10234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Škola  Mateřská škola Libina, okres Šumperk, příspěvková organizace  IČO: 70991120</w:t>
            </w:r>
          </w:p>
        </w:tc>
      </w:tr>
      <w:tr>
        <w:trPr>
          <w:trHeight w:val="326" w:hRule="atLeast"/>
        </w:trPr>
        <w:tc>
          <w:tcPr>
            <w:tcW w:w="10234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Vnitřní směrnice k poskytování úplaty za vzdělávání</w:t>
            </w:r>
          </w:p>
        </w:tc>
      </w:tr>
      <w:tr>
        <w:trPr>
          <w:trHeight w:val="326" w:hRule="atLeast"/>
        </w:trPr>
        <w:tc>
          <w:tcPr>
            <w:tcW w:w="294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sz w:val="24"/>
                <w:szCs w:val="24"/>
              </w:rPr>
              <w:t>Č.j.: 04/2025</w:t>
            </w:r>
          </w:p>
        </w:tc>
        <w:tc>
          <w:tcPr>
            <w:tcW w:w="72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</w:t>
            </w:r>
            <w:r>
              <w:rPr>
                <w:rFonts w:cs="Calibri" w:ascii="Calibri" w:hAnsi="Calibri"/>
                <w:sz w:val="24"/>
                <w:szCs w:val="24"/>
              </w:rPr>
              <w:t>Účinnost od: 1.9.20</w:t>
            </w:r>
            <w:r>
              <w:rPr>
                <w:rFonts w:eastAsia="Times New Roman" w:cs="Calibri" w:ascii="Calibri" w:hAnsi="Calibri"/>
                <w:color w:val="auto"/>
                <w:sz w:val="24"/>
                <w:szCs w:val="24"/>
                <w:lang w:val="cs-CZ" w:eastAsia="zh-CN" w:bidi="ar-SA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294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Spisový znak: A.4.</w:t>
            </w:r>
          </w:p>
        </w:tc>
        <w:tc>
          <w:tcPr>
            <w:tcW w:w="72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</w:t>
            </w:r>
            <w:r>
              <w:rPr>
                <w:rFonts w:cs="Calibri" w:ascii="Calibri" w:hAnsi="Calibri"/>
                <w:sz w:val="24"/>
                <w:szCs w:val="24"/>
              </w:rPr>
              <w:t>Skartační znak:  V 5</w:t>
            </w:r>
          </w:p>
        </w:tc>
      </w:tr>
      <w:tr>
        <w:trPr>
          <w:trHeight w:val="326" w:hRule="atLeast"/>
        </w:trPr>
        <w:tc>
          <w:tcPr>
            <w:tcW w:w="10234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Změny:</w:t>
            </w:r>
          </w:p>
        </w:tc>
      </w:tr>
      <w:tr>
        <w:trPr>
          <w:trHeight w:val="326" w:hRule="atLeast"/>
        </w:trPr>
        <w:tc>
          <w:tcPr>
            <w:tcW w:w="10234" w:type="dxa"/>
            <w:gridSpan w:val="2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>Ředitelka školy:                              Aranka Jarošová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 xml:space="preserve">Zástupkyně ředitelky školy :         </w:t>
            </w:r>
            <w:r>
              <w:rPr>
                <w:rFonts w:eastAsia="Times New Roman" w:cs="Calibri" w:ascii="Calibri" w:hAnsi="Calibri"/>
                <w:bCs/>
                <w:color w:val="auto"/>
                <w:sz w:val="24"/>
                <w:szCs w:val="24"/>
                <w:lang w:val="cs-CZ" w:eastAsia="zh-CN" w:bidi="ar-SA"/>
              </w:rPr>
              <w:t>Bc. Jarmila Zouharová</w:t>
            </w:r>
          </w:p>
          <w:p>
            <w:pPr>
              <w:pStyle w:val="Normal"/>
              <w:widowControl w:val="false"/>
              <w:rPr>
                <w:rFonts w:ascii="Calibri" w:hAnsi="Calibri" w:eastAsia="Times New Roman" w:cs="Calibri"/>
                <w:bCs/>
                <w:color w:val="auto"/>
                <w:sz w:val="24"/>
                <w:szCs w:val="24"/>
                <w:lang w:val="cs-CZ" w:eastAsia="zh-CN" w:bidi="ar-SA"/>
              </w:rPr>
            </w:pPr>
            <w:r>
              <w:rPr>
                <w:rFonts w:eastAsia="Times New Roman" w:cs="Calibri" w:ascii="Calibri" w:hAnsi="Calibri"/>
                <w:bCs/>
                <w:color w:val="auto"/>
                <w:sz w:val="24"/>
                <w:szCs w:val="24"/>
                <w:lang w:val="cs-CZ" w:eastAsia="zh-CN" w:bidi="ar-SA"/>
              </w:rPr>
              <w:t>vedoucí ŠJ:                                       Martina Krčová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>Adresa školy:                                   MŠ Libina 211, 788 05 Libina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>Telefon:                                            583 233 281,  731 555 382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 xml:space="preserve">e-mail:                                              </w:t>
            </w:r>
            <w:hyperlink r:id="rId2">
              <w:r>
                <w:rPr>
                  <w:rStyle w:val="Hyperlink"/>
                  <w:rFonts w:cs="Calibri" w:ascii="Calibri" w:hAnsi="Calibri"/>
                  <w:bCs/>
                  <w:sz w:val="24"/>
                  <w:szCs w:val="24"/>
                </w:rPr>
                <w:t>skolka@mslibina.cz</w:t>
              </w:r>
            </w:hyperlink>
            <w:r>
              <w:rPr>
                <w:rFonts w:cs="Calibri" w:ascii="Calibri" w:hAnsi="Calibri"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 xml:space="preserve">webové stránky:                             </w:t>
            </w:r>
            <w:hyperlink r:id="rId3">
              <w:r>
                <w:rPr>
                  <w:rStyle w:val="Hyperlink"/>
                  <w:rFonts w:cs="Calibri" w:ascii="Calibri" w:hAnsi="Calibri"/>
                  <w:bCs/>
                  <w:sz w:val="24"/>
                  <w:szCs w:val="24"/>
                </w:rPr>
                <w:t>www.mslibina.cz</w:t>
              </w:r>
            </w:hyperlink>
          </w:p>
          <w:p>
            <w:pPr>
              <w:pStyle w:val="Normal"/>
              <w:widowControl w:val="false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sz w:val="24"/>
                <w:szCs w:val="24"/>
              </w:rPr>
              <w:t>zřizovatel:                                        Obec Libina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jc w:val="center"/>
        <w:rPr>
          <w:rFonts w:ascii="Calibri" w:hAnsi="Calibri" w:cs="Calibri"/>
          <w:b/>
          <w:sz w:val="36"/>
          <w:lang w:val="de-DE"/>
        </w:rPr>
      </w:pPr>
      <w:r>
        <w:rPr>
          <w:rFonts w:cs="Calibri" w:ascii="Calibri" w:hAnsi="Calibri"/>
          <w:b/>
          <w:sz w:val="36"/>
          <w:lang w:val="de-DE"/>
        </w:rPr>
        <w:t xml:space="preserve">Vnitřní směrnice k poskytování  úplaty za vzdělávání </w:t>
      </w:r>
    </w:p>
    <w:p>
      <w:pPr>
        <w:pStyle w:val="Normal"/>
        <w:jc w:val="center"/>
        <w:rPr>
          <w:rFonts w:ascii="Calibri" w:hAnsi="Calibri" w:cs="Calibri"/>
          <w:b/>
          <w:sz w:val="36"/>
          <w:lang w:val="en-US"/>
        </w:rPr>
      </w:pPr>
      <w:r>
        <w:rPr>
          <w:rFonts w:cs="Calibri" w:ascii="Calibri" w:hAnsi="Calibri"/>
          <w:b/>
          <w:sz w:val="36"/>
          <w:lang w:val="en-US"/>
        </w:rPr>
        <w:t>v  Mateřské škole  Libina</w:t>
      </w:r>
    </w:p>
    <w:p>
      <w:pPr>
        <w:pStyle w:val="Normal"/>
        <w:jc w:val="center"/>
        <w:rPr>
          <w:rFonts w:ascii="Calibri" w:hAnsi="Calibri" w:cs="Calibri"/>
          <w:b/>
          <w:sz w:val="36"/>
          <w:lang w:val="en-US"/>
        </w:rPr>
      </w:pPr>
      <w:r>
        <w:rPr>
          <w:rFonts w:cs="Calibri" w:ascii="Calibri" w:hAnsi="Calibri"/>
          <w:b/>
          <w:sz w:val="36"/>
          <w:lang w:val="en-US"/>
        </w:rPr>
      </w:r>
    </w:p>
    <w:p>
      <w:pPr>
        <w:pStyle w:val="Normal"/>
        <w:rPr/>
      </w:pPr>
      <w:r>
        <w:rPr>
          <w:rFonts w:cs="Calibri" w:ascii="Calibri" w:hAnsi="Calibri"/>
          <w:lang w:val="en-US"/>
        </w:rPr>
        <w:t xml:space="preserve">S </w:t>
      </w:r>
      <w:r>
        <w:rPr>
          <w:rFonts w:eastAsia="Times New Roman" w:cs="Calibri" w:ascii="Calibri" w:hAnsi="Calibri"/>
          <w:color w:val="auto"/>
          <w:sz w:val="24"/>
          <w:szCs w:val="24"/>
          <w:lang w:val="en-US" w:eastAsia="zh-CN" w:bidi="ar-SA"/>
        </w:rPr>
        <w:t>platností</w:t>
      </w:r>
      <w:r>
        <w:rPr>
          <w:rFonts w:cs="Calibri" w:ascii="Calibri" w:hAnsi="Calibri"/>
          <w:lang w:val="en-US"/>
        </w:rPr>
        <w:t xml:space="preserve"> od </w:t>
      </w:r>
      <w:r>
        <w:rPr>
          <w:rFonts w:cs="Calibri" w:ascii="Calibri" w:hAnsi="Calibri"/>
        </w:rPr>
        <w:t>1</w:t>
      </w:r>
      <w:r>
        <w:rPr>
          <w:rFonts w:cs="Calibri" w:ascii="Calibri" w:hAnsi="Calibri"/>
          <w:lang w:val="en-US"/>
        </w:rPr>
        <w:t>. 9. 20</w:t>
      </w:r>
      <w:r>
        <w:rPr>
          <w:rFonts w:eastAsia="Times New Roman" w:cs="Calibri" w:ascii="Calibri" w:hAnsi="Calibri"/>
          <w:color w:val="auto"/>
          <w:sz w:val="24"/>
          <w:szCs w:val="24"/>
          <w:lang w:val="en-US" w:eastAsia="zh-CN" w:bidi="ar-SA"/>
        </w:rPr>
        <w:t>25</w:t>
      </w:r>
      <w:r>
        <w:rPr>
          <w:rFonts w:cs="Calibri" w:ascii="Calibri" w:hAnsi="Calibri"/>
          <w:lang w:val="en-US"/>
        </w:rPr>
        <w:t xml:space="preserve"> do 31.8.2026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Směrnici vydává ředitelka školy v souladu se školským zákonem 561/2004 Sb. </w:t>
      </w:r>
    </w:p>
    <w:p>
      <w:pPr>
        <w:pStyle w:val="Zkladntext2"/>
        <w:rPr>
          <w:rFonts w:ascii="Calibri" w:hAnsi="Calibri" w:cs="Calibri"/>
        </w:rPr>
      </w:pPr>
      <w:r>
        <w:rPr>
          <w:rFonts w:cs="Calibri" w:ascii="Calibri" w:hAnsi="Calibri"/>
        </w:rPr>
        <w:t xml:space="preserve">o předškolním vzdělávání </w:t>
      </w:r>
    </w:p>
    <w:p>
      <w:pPr>
        <w:pStyle w:val="Zkladntext2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- § 123 odst. 2 a odst. 4, dále podle </w:t>
      </w:r>
    </w:p>
    <w:p>
      <w:pPr>
        <w:pStyle w:val="Zkladntext2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- § 165 odst. 2 i zákona č. 561/2004 Sb., školský zákon, a </w:t>
      </w:r>
    </w:p>
    <w:p>
      <w:pPr>
        <w:pStyle w:val="Zkladntext2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- § 6 vyhlášky č. 14/2005 Sb., ve znění vyhlášky č. 43/2006 Sb., o předškolním vzdělávání.</w:t>
      </w:r>
    </w:p>
    <w:p>
      <w:pPr>
        <w:pStyle w:val="Normal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cs="Calibri" w:ascii="Calibri" w:hAnsi="Calibri"/>
        </w:rPr>
        <w:t>a v souladu s dalšími předpisy v platném znění.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ab/>
        <w:tab/>
        <w:tab/>
        <w:tab/>
        <w:tab/>
        <w:tab/>
        <w:t>Čl. I</w:t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ab/>
        <w:tab/>
        <w:tab/>
        <w:tab/>
        <w:tab/>
        <w:t>Úvodní ustanovení</w:t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BodyText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Tento pokyn stanoví úplatu za předškolní vzdělávání, (dále jen „úplata“), kterou hradí rodiče nebo jiní zákonní zástupci dítěte mateřské škole.</w:t>
      </w:r>
    </w:p>
    <w:p>
      <w:pPr>
        <w:pStyle w:val="BodyText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BodyText"/>
        <w:ind w:firstLine="708" w:start="4248" w:end="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Čl. II</w:t>
      </w:r>
    </w:p>
    <w:p>
      <w:pPr>
        <w:pStyle w:val="BodyText"/>
        <w:ind w:hanging="0" w:start="4248" w:end="0"/>
        <w:jc w:val="both"/>
        <w:rPr/>
      </w:pPr>
      <w:r>
        <w:rPr>
          <w:rFonts w:eastAsia="Calibri" w:cs="Calibri" w:ascii="Calibri" w:hAnsi="Calibri"/>
          <w:b/>
          <w:bCs/>
          <w:color w:val="000000"/>
        </w:rPr>
        <w:t xml:space="preserve">      </w:t>
      </w:r>
      <w:r>
        <w:rPr>
          <w:rFonts w:cs="Calibri" w:ascii="Calibri" w:hAnsi="Calibri"/>
          <w:b/>
          <w:bCs/>
          <w:color w:val="000000"/>
        </w:rPr>
        <w:t>Výše úplaty</w:t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BodyText"/>
        <w:numPr>
          <w:ilvl w:val="0"/>
          <w:numId w:val="4"/>
        </w:numPr>
        <w:jc w:val="both"/>
        <w:rPr/>
      </w:pPr>
      <w:r>
        <w:rPr>
          <w:rFonts w:cs="Calibri" w:ascii="Calibri" w:hAnsi="Calibri"/>
          <w:b/>
          <w:sz w:val="24"/>
        </w:rPr>
        <w:t>Pro školní rok 20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val="cs-CZ" w:eastAsia="zh-CN" w:bidi="ar-SA"/>
        </w:rPr>
        <w:t>25</w:t>
      </w:r>
      <w:r>
        <w:rPr>
          <w:rFonts w:cs="Calibri" w:ascii="Calibri" w:hAnsi="Calibri"/>
          <w:b/>
          <w:sz w:val="24"/>
        </w:rPr>
        <w:t>/2026 je stanovena zřizovatelem obcí Libina měsíční úplata za předškolní vzdělávání v základní  v částce 400,-Kč.</w:t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"/>
        <w:numPr>
          <w:ilvl w:val="0"/>
          <w:numId w:val="4"/>
        </w:numPr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Výši úplaty stanoví ředitelka mateřské školy vždy na období školního roku a zveřejní ji na informační tabuli mateřské školy nejpozději do 30. června předcházejícího školního roku. </w:t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BodyText"/>
        <w:numPr>
          <w:ilvl w:val="0"/>
          <w:numId w:val="4"/>
        </w:numPr>
        <w:jc w:val="star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V případě přijetí dítěte k předškolnímu vzdělávání v průběhu školního roku oznámí ředitelka mateřské školy stanovenou výši úplaty zákonnému zástupci při přijetí dítěte.</w:t>
        <w:br/>
      </w:r>
    </w:p>
    <w:p>
      <w:pPr>
        <w:pStyle w:val="BodyText"/>
        <w:numPr>
          <w:ilvl w:val="0"/>
          <w:numId w:val="4"/>
        </w:numPr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Měsíční výše úplaty nesmí přesáhnout 50 % skutečných průměrných měsíčních neinvestičních nákladů, které připadají na předškolní vzdělávání dítěte v mateřské škole.</w:t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Výše základní částky se stanoví tak, aby nepřesáhla 50% skutečných průměrných měsíčních  neinvestičních výdajů na dítě v uplynulém kalendářním roce (s výjimkou mzdových  nákladů, nákladů na učební pomůcky, zákonné odvody a další, které přímo souvisejí s rozvojem školy a kvalitou vzdělávání poskytnutých ze státního rozpočtu.) Základní částka se pro období od 1. září do 31. srpna následujícího kalendářního roku stanoví pro všechny děti v příslušné mateřské škole podle § 1 Vyhlášky 14/2005 Sb. v jednotlivém druhu provozu ve stejné výši.</w:t>
      </w:r>
    </w:p>
    <w:p>
      <w:pPr>
        <w:pStyle w:val="Normal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Pokud je dítěti nařízena karanténa jako jednotlivci, úplatu za vzdělávání hradí v plné výši, pokud by nebyl přítomen v MŠ celý měsíc, hradí 50% stanovené základní částky.</w:t>
      </w:r>
    </w:p>
    <w:p>
      <w:pPr>
        <w:pStyle w:val="Normal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Je-li MŠ z rozhodnutí KHS nebo MZd aj. nadřízených orgánů minimálně 5 pracovních dnů, hradí dítě poměrnou částku.</w:t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"/>
        <w:numPr>
          <w:ilvl w:val="0"/>
          <w:numId w:val="0"/>
        </w:numPr>
        <w:ind w:hanging="0" w:start="720" w:end="0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BodyText"/>
        <w:ind w:firstLine="708" w:start="4248" w:end="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Čl. III</w:t>
      </w:r>
    </w:p>
    <w:p>
      <w:pPr>
        <w:pStyle w:val="Subtitle"/>
        <w:ind w:firstLine="708" w:start="3540" w:end="0"/>
        <w:jc w:val="both"/>
        <w:rPr/>
      </w:pPr>
      <w:r>
        <w:rPr>
          <w:rFonts w:eastAsia="Calibri" w:cs="Calibri" w:ascii="Calibri" w:hAnsi="Calibri"/>
          <w:sz w:val="24"/>
        </w:rPr>
        <w:t xml:space="preserve">    </w:t>
      </w:r>
      <w:r>
        <w:rPr>
          <w:rFonts w:cs="Calibri" w:ascii="Calibri" w:hAnsi="Calibri"/>
          <w:sz w:val="24"/>
        </w:rPr>
        <w:t>Splatnost úplaty</w:t>
      </w:r>
    </w:p>
    <w:p>
      <w:pPr>
        <w:pStyle w:val="BodyText"/>
        <w:ind w:firstLine="708" w:start="3540" w:end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ubtitle"/>
        <w:ind w:hanging="0" w:start="0" w:end="-142"/>
        <w:jc w:val="both"/>
        <w:rPr/>
      </w:pPr>
      <w:r>
        <w:rPr>
          <w:rFonts w:cs="Calibri" w:ascii="Calibri" w:hAnsi="Calibri"/>
          <w:b w:val="false"/>
          <w:sz w:val="24"/>
        </w:rPr>
        <w:t xml:space="preserve">Úplata za kalendářní měsíc je splatná do 15. dne příslušného kalendářního měsíce. </w:t>
      </w:r>
      <w:r>
        <w:rPr>
          <w:rFonts w:cs="Calibri" w:ascii="Calibri" w:hAnsi="Calibri"/>
          <w:sz w:val="24"/>
        </w:rPr>
        <w:t>Platba probíhá zpravidla v hotovosti (</w:t>
      </w:r>
      <w:r>
        <w:rPr>
          <w:rFonts w:cs="Calibri" w:ascii="Calibri" w:hAnsi="Calibri"/>
          <w:color w:val="000000"/>
          <w:sz w:val="24"/>
          <w:szCs w:val="24"/>
        </w:rPr>
        <w:t xml:space="preserve">zpravidla 2 dny ve druhém kalendářním týdnu na daný měsíc, v kanceláři vedoucí školní jídelny) </w:t>
      </w:r>
      <w:r>
        <w:rPr>
          <w:rFonts w:cs="Calibri" w:ascii="Calibri" w:hAnsi="Calibri"/>
          <w:sz w:val="24"/>
        </w:rPr>
        <w:t>nebo bezhotovostním převodem – inkasem na účet Mateřské školy Libina, okres Šumperk, příspěvková organizace  BÚ: ČSOB a.s., č.ú: 181 755 735/0300.</w:t>
      </w:r>
      <w:r>
        <w:rPr>
          <w:rFonts w:cs="Calibri" w:ascii="Calibri" w:hAnsi="Calibri"/>
          <w:b w:val="false"/>
          <w:sz w:val="24"/>
        </w:rPr>
        <w:t xml:space="preserve"> </w:t>
      </w:r>
    </w:p>
    <w:p>
      <w:pPr>
        <w:pStyle w:val="Normal"/>
        <w:jc w:val="both"/>
        <w:rPr/>
      </w:pPr>
      <w:r>
        <w:rPr>
          <w:rFonts w:cs="Calibri" w:ascii="Calibri" w:hAnsi="Calibri"/>
          <w:color w:val="000000"/>
          <w:sz w:val="24"/>
          <w:szCs w:val="24"/>
          <w:u w:val="none"/>
        </w:rPr>
        <w:t xml:space="preserve">Úplata za předškolní vzdělávání </w:t>
      </w:r>
      <w:r>
        <w:rPr>
          <w:rFonts w:cs="Calibri" w:ascii="Calibri" w:hAnsi="Calibri"/>
          <w:color w:val="000000"/>
          <w:sz w:val="24"/>
          <w:szCs w:val="24"/>
        </w:rPr>
        <w:t xml:space="preserve"> je vyvěšena na nástěnce </w:t>
        <w:tab/>
        <w:t>v šatně dětí MŠ – Informace pro rodiče.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4"/>
          <w:szCs w:val="24"/>
        </w:rPr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4"/>
          <w:szCs w:val="24"/>
        </w:rPr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4"/>
          <w:szCs w:val="24"/>
        </w:rPr>
      </w:r>
    </w:p>
    <w:p>
      <w:pPr>
        <w:pStyle w:val="BodyText"/>
        <w:jc w:val="both"/>
        <w:rPr/>
      </w:pPr>
      <w:r>
        <w:rPr>
          <w:rFonts w:cs="Calibri" w:ascii="Calibri" w:hAnsi="Calibri"/>
          <w:b/>
          <w:bCs/>
          <w:color w:val="000000"/>
          <w:sz w:val="24"/>
        </w:rPr>
        <w:tab/>
        <w:tab/>
        <w:tab/>
        <w:tab/>
        <w:tab/>
        <w:tab/>
        <w:tab/>
      </w:r>
      <w:r>
        <w:rPr>
          <w:rFonts w:cs="Calibri" w:ascii="Calibri" w:hAnsi="Calibri"/>
          <w:b/>
          <w:bCs/>
          <w:color w:val="000000"/>
        </w:rPr>
        <w:t>Čl. IV</w:t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ab/>
        <w:tab/>
        <w:tab/>
        <w:tab/>
        <w:tab/>
        <w:t>Osvobození od placení úplaty</w:t>
      </w:r>
    </w:p>
    <w:p>
      <w:pPr>
        <w:pStyle w:val="Subtitle"/>
        <w:jc w:val="both"/>
        <w:rPr>
          <w:rFonts w:ascii="Calibri" w:hAnsi="Calibri" w:cs="Calibri"/>
          <w:b w:val="false"/>
          <w:bCs/>
          <w:color w:val="000000"/>
          <w:sz w:val="24"/>
        </w:rPr>
      </w:pPr>
      <w:r>
        <w:rPr>
          <w:rFonts w:cs="Calibri" w:ascii="Calibri" w:hAnsi="Calibri"/>
          <w:b w:val="false"/>
          <w:bCs/>
          <w:color w:val="000000"/>
          <w:sz w:val="24"/>
        </w:rPr>
      </w:r>
    </w:p>
    <w:p>
      <w:pPr>
        <w:pStyle w:val="Subtitle"/>
        <w:numPr>
          <w:ilvl w:val="0"/>
          <w:numId w:val="3"/>
        </w:numPr>
        <w:jc w:val="both"/>
        <w:rPr/>
      </w:pPr>
      <w:r>
        <w:rPr>
          <w:rFonts w:cs="Calibri" w:ascii="Calibri" w:hAnsi="Calibri"/>
          <w:b w:val="false"/>
          <w:bCs/>
          <w:color w:val="000000"/>
          <w:sz w:val="24"/>
        </w:rPr>
        <w:t>Osvobozen od úplaty bude zákonný zástupce dítěte, který pobírá opakující se dávku v hmotné nouzi (§ 4 odst. 2 zákona č. 111/2006 Sb., o hmotné nouzi) a přídavku na dítě dle zákona č. 117/2015 Sb. O státní sociální podpoře</w:t>
      </w:r>
      <w:r>
        <w:rPr>
          <w:rFonts w:cs="Calibri" w:ascii="Calibri" w:hAnsi="Calibri"/>
          <w:b w:val="false"/>
          <w:sz w:val="24"/>
        </w:rPr>
        <w:t>.</w:t>
      </w:r>
    </w:p>
    <w:p>
      <w:pPr>
        <w:pStyle w:val="Subtitle"/>
        <w:numPr>
          <w:ilvl w:val="0"/>
          <w:numId w:val="3"/>
        </w:numPr>
        <w:jc w:val="both"/>
        <w:rPr>
          <w:rFonts w:ascii="Calibri" w:hAnsi="Calibri" w:cs="Calibri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Zákonný zástupce nezaopatřeného dítěte, pokud tomuto dítěti náleží zvýšení příspěvku na péči (§12 odst. 1 zákona č. 108/2006 Sb. O sociálních službách v platném znění).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Rodič, který nárokuje bezúplatnou docházku  dítěte na základě zvláštních předpisů O sociálních službách a dalších opatření vlády pro děti azylantů.</w:t>
      </w:r>
    </w:p>
    <w:p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b w:val="false"/>
          <w:sz w:val="24"/>
        </w:rPr>
      </w:pPr>
      <w:r>
        <w:rPr>
          <w:rFonts w:cs="Calibri" w:ascii="Calibri" w:hAnsi="Calibri"/>
          <w:b w:val="false"/>
          <w:sz w:val="24"/>
        </w:rPr>
        <w:t>Fyzická osoba, která pobírá dávky pěstounské péče a o dítě osobně pečuje (zákon č. 359/1999 o sociálně právní ochraně dětí ve znění pozdějších předpisů).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V souladu se školským zákonem pro děti od 5 let v posledním ročníku předškolního vzdělávání.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 xml:space="preserve">Žádost je nutno doložit s potvrzením nároku na osvobození z úplaty předškolního vzdělávání </w:t>
        <w:tab/>
        <w:t>do 5. dne v kalendářním měsíci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ab/>
        <w:tab/>
        <w:tab/>
        <w:tab/>
        <w:tab/>
        <w:tab/>
        <w:t>Čl. V</w:t>
      </w:r>
    </w:p>
    <w:p>
      <w:pPr>
        <w:pStyle w:val="BodyText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  <w:tab/>
        <w:tab/>
        <w:tab/>
        <w:tab/>
        <w:tab/>
        <w:tab/>
        <w:t xml:space="preserve">   Snížení úplaty</w:t>
      </w:r>
    </w:p>
    <w:p>
      <w:pPr>
        <w:pStyle w:val="Normal"/>
        <w:jc w:val="both"/>
        <w:rPr>
          <w:rFonts w:ascii="Calibri" w:hAnsi="Calibri" w:cs="Calibri"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sz w:val="24"/>
        </w:rPr>
        <w:tab/>
      </w:r>
      <w:r>
        <w:rPr>
          <w:rFonts w:cs="Calibri" w:ascii="Calibri" w:hAnsi="Calibri"/>
          <w:b/>
        </w:rPr>
        <w:t>Úplata je snížena zákonnému zástupci dítěte:</w:t>
      </w:r>
    </w:p>
    <w:p>
      <w:pPr>
        <w:pStyle w:val="Normal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Calibri" w:ascii="Calibri" w:hAnsi="Calibri"/>
          <w:b w:val="false"/>
          <w:bCs w:val="false"/>
        </w:rPr>
        <w:t xml:space="preserve">Jehož dítě nedocházelo do mateřské školy ani jeden den příslušného měsíce, </w:t>
      </w:r>
      <w:r>
        <w:rPr>
          <w:rFonts w:cs="Calibri" w:ascii="Calibri" w:hAnsi="Calibri"/>
          <w:b w:val="false"/>
          <w:bCs w:val="false"/>
          <w:u w:val="single"/>
        </w:rPr>
        <w:t xml:space="preserve">snížená úplata je stanovena na částku 200,- Kč, tj. v 50% výši základní částky, o letních prázdninách (červenec, srpen) tj. 100,- Kč/ měs. </w:t>
      </w:r>
    </w:p>
    <w:p>
      <w:pPr>
        <w:pStyle w:val="Normal"/>
        <w:numPr>
          <w:ilvl w:val="0"/>
          <w:numId w:val="0"/>
        </w:numPr>
        <w:ind w:hanging="0" w:start="720" w:end="0"/>
        <w:jc w:val="both"/>
        <w:rPr/>
      </w:pPr>
      <w:r>
        <w:rPr/>
      </w:r>
    </w:p>
    <w:p>
      <w:pPr>
        <w:pStyle w:val="Normal"/>
        <w:ind w:hanging="0" w:start="360" w:end="0"/>
        <w:jc w:val="both"/>
        <w:rPr>
          <w:rFonts w:ascii="Calibri" w:hAnsi="Calibri" w:cs="Calibri"/>
          <w:b w:val="false"/>
          <w:bCs w:val="false"/>
          <w:u w:val="single"/>
        </w:rPr>
      </w:pPr>
      <w:r>
        <w:rPr>
          <w:rFonts w:cs="Calibri" w:ascii="Calibri" w:hAnsi="Calibri"/>
          <w:b w:val="false"/>
          <w:bCs w:val="false"/>
          <w:u w:val="single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Calibri" w:ascii="Calibri" w:hAnsi="Calibri"/>
          <w:b w:val="false"/>
          <w:bCs w:val="false"/>
          <w:u w:val="none"/>
        </w:rPr>
        <w:t>P</w:t>
      </w:r>
      <w:r>
        <w:rPr>
          <w:rFonts w:cs="Calibri" w:ascii="Calibri" w:hAnsi="Calibri"/>
          <w:b w:val="false"/>
          <w:bCs w:val="false"/>
        </w:rPr>
        <w:t xml:space="preserve">ro kalendářní měsíc, v němž bude omezen nebo přerušen provoz mateřské školy po dobu delší než 5 vyučovacích dnů. Ředitelka mateřské školy stanoví výši úplaty, která nepřesáhne poměrnou část výše úplaty odpovídající rozsahu omezení nebo přerušení provozu mateřské školy, bude stanovena </w:t>
      </w:r>
      <w:r>
        <w:rPr>
          <w:rFonts w:cs="Calibri" w:ascii="Calibri" w:hAnsi="Calibri"/>
          <w:b w:val="false"/>
          <w:bCs w:val="false"/>
          <w:u w:val="single"/>
        </w:rPr>
        <w:t>snížená úplata podle počtu provozních dní,</w:t>
      </w:r>
      <w:r>
        <w:rPr>
          <w:rFonts w:cs="Calibri" w:ascii="Calibri" w:hAnsi="Calibri"/>
          <w:b w:val="false"/>
          <w:bCs w:val="false"/>
        </w:rPr>
        <w:t xml:space="preserve"> během prázdninovém provozu v měsíci červenci a srpnu (§ 3 Vyhlášky č. 14 /2005 Sb.) je stanovena </w:t>
      </w:r>
      <w:r>
        <w:rPr>
          <w:rFonts w:cs="Calibri" w:ascii="Calibri" w:hAnsi="Calibri"/>
          <w:b w:val="false"/>
          <w:bCs w:val="false"/>
          <w:u w:val="single"/>
        </w:rPr>
        <w:t>snížená úplata na 200,- Kč za měsíc.</w:t>
      </w:r>
    </w:p>
    <w:p>
      <w:pPr>
        <w:pStyle w:val="Normal"/>
        <w:jc w:val="both"/>
        <w:rPr>
          <w:rFonts w:ascii="Calibri" w:hAnsi="Calibri" w:cs="Calibri"/>
          <w:b w:val="false"/>
          <w:bCs w:val="false"/>
          <w:u w:val="single"/>
        </w:rPr>
      </w:pPr>
      <w:r>
        <w:rPr>
          <w:rFonts w:cs="Calibri" w:ascii="Calibri" w:hAnsi="Calibri"/>
          <w:b w:val="false"/>
          <w:bCs w:val="false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Cs w:val="false"/>
          <w:u w:val="single"/>
        </w:rPr>
      </w:pPr>
      <w:r>
        <w:rPr>
          <w:rFonts w:cs="Calibri" w:ascii="Calibri" w:hAnsi="Calibri"/>
          <w:b/>
          <w:bCs w:val="false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Cs w:val="false"/>
          <w:u w:val="single"/>
        </w:rPr>
      </w:pPr>
      <w:r>
        <w:rPr>
          <w:rFonts w:cs="Calibri" w:ascii="Calibri" w:hAnsi="Calibri"/>
          <w:b/>
          <w:bCs w:val="false"/>
          <w:u w:val="single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u w:val="none"/>
        </w:rPr>
        <w:tab/>
        <w:tab/>
        <w:tab/>
        <w:tab/>
        <w:tab/>
        <w:tab/>
        <w:tab/>
      </w:r>
      <w:r>
        <w:rPr>
          <w:rFonts w:cs="Calibri" w:ascii="Calibri" w:hAnsi="Calibri"/>
          <w:b/>
        </w:rPr>
        <w:t>VI.</w:t>
      </w:r>
    </w:p>
    <w:p>
      <w:pPr>
        <w:pStyle w:val="Normal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ab/>
        <w:tab/>
        <w:tab/>
        <w:tab/>
        <w:tab/>
        <w:tab/>
        <w:tab/>
        <w:t>Sankce</w:t>
      </w:r>
    </w:p>
    <w:p>
      <w:pPr>
        <w:pStyle w:val="Normal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Subtitle"/>
        <w:ind w:hanging="0" w:start="0" w:end="-142"/>
        <w:jc w:val="both"/>
        <w:rPr/>
      </w:pPr>
      <w:r>
        <w:rPr>
          <w:rFonts w:cs="Calibri" w:ascii="Calibri" w:hAnsi="Calibri"/>
          <w:sz w:val="24"/>
          <w:szCs w:val="24"/>
        </w:rPr>
        <w:t xml:space="preserve">V případě neuhrazení úplaty za  vzdělávání dítěte, ředitelka mateřské školy vyměří úroky z prodlení v souladu s novým občanským zákoníkem č. 89/2012 Sb. v platném znění a dále postupuje dle § 35 odst.1., písm. d) Z. 561/2004 Sb. </w:t>
      </w:r>
      <w:r>
        <w:rPr>
          <w:rFonts w:cs="Calibri" w:ascii="Calibri" w:hAnsi="Calibri"/>
          <w:b w:val="false"/>
          <w:sz w:val="24"/>
          <w:szCs w:val="24"/>
        </w:rPr>
        <w:t>Jestliže zákonný zástupce opakovaně neuhradí úplatu za vzdělávání, může ředitelka školy po předchozím písemném upozornění zákonného zástupce rozhodnout o ukončení předškolního vzdělávání.</w:t>
      </w:r>
    </w:p>
    <w:p>
      <w:pPr>
        <w:pStyle w:val="Normal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sz w:val="24"/>
          <w:szCs w:val="24"/>
        </w:rPr>
        <w:tab/>
        <w:tab/>
        <w:tab/>
        <w:tab/>
        <w:tab/>
        <w:tab/>
        <w:tab/>
      </w:r>
      <w:r>
        <w:rPr>
          <w:rFonts w:cs="Calibri" w:ascii="Calibri" w:hAnsi="Calibri"/>
          <w:b/>
        </w:rPr>
        <w:t>VII.</w:t>
      </w:r>
    </w:p>
    <w:p>
      <w:pPr>
        <w:pStyle w:val="BodyText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ab/>
        <w:tab/>
        <w:tab/>
        <w:tab/>
        <w:tab/>
        <w:tab/>
        <w:tab/>
      </w:r>
    </w:p>
    <w:p>
      <w:pPr>
        <w:pStyle w:val="BodyText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Závěrečná ustanovení</w:t>
      </w:r>
    </w:p>
    <w:p>
      <w:pPr>
        <w:pStyle w:val="BodyText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BodyText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</w:rPr>
        <w:t>Informace, které zákonný zástupce dítěte poskytne pro zpracování osobních údajů k úplatě za vzdělávání jsou důvěrné a všichni zaměstnanci se řídí se zákonem č. 101/2000 Sb., o ochraně osobních údajů v platném znění. Každý zaměstnanec školy je zavázán pro zajištění náležitého zabezpečení osobních údajů podle čl. 5 odst. 1 písm. f) nařízení EP a Rady (EU) 2016/679 o ochraně osobních údajů zachovávat mlčenlivost o osobních údajích a o bezpečnostních opatřeních, o nichž se dozvěděl v souvislosti s výkonem práv a povinností vyplývajících z tohoto pracovního vztahu a jejichž neoprávněné poskytnutí nebo zpřístupnění by mohlo ohrozit toto zabezpečení osobních údajů. Povinnost mlčenlivosti podle tohoto odstavce smlouvy trvá i po případném skončení pracovního poměru.</w:t>
      </w:r>
    </w:p>
    <w:p>
      <w:pPr>
        <w:pStyle w:val="BodyText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BodyText"/>
        <w:jc w:val="both"/>
        <w:rPr>
          <w:rFonts w:ascii="Calibri" w:hAnsi="Calibri" w:eastAsia="Times New Roman" w:cs="Calibri"/>
          <w:color w:val="000000"/>
          <w:sz w:val="22"/>
          <w:szCs w:val="24"/>
          <w:lang w:val="cs-CZ" w:eastAsia="zh-CN" w:bidi="ar-SA"/>
        </w:rPr>
      </w:pPr>
      <w:r>
        <w:rPr>
          <w:rFonts w:cs="Calibri" w:ascii="Calibri" w:hAnsi="Calibri"/>
          <w:color w:val="000000"/>
        </w:rPr>
        <w:t>Tato směrnice nabývá účinnosti dnem 1. 9. 20</w:t>
      </w:r>
      <w:r>
        <w:rPr>
          <w:rFonts w:eastAsia="Times New Roman" w:cs="Calibri" w:ascii="Calibri" w:hAnsi="Calibri"/>
          <w:color w:val="000000"/>
          <w:sz w:val="22"/>
          <w:szCs w:val="24"/>
          <w:lang w:val="cs-CZ" w:eastAsia="zh-CN" w:bidi="ar-SA"/>
        </w:rPr>
        <w:t>25</w:t>
      </w:r>
    </w:p>
    <w:p>
      <w:pPr>
        <w:pStyle w:val="BodyText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>V Libině dne:</w:t>
        <w:tab/>
        <w:t>25.2</w:t>
      </w:r>
      <w:r>
        <w:rPr>
          <w:rFonts w:eastAsia="Times New Roman" w:cs="Calibri" w:ascii="Calibri" w:hAnsi="Calibri"/>
          <w:color w:val="auto"/>
          <w:sz w:val="24"/>
          <w:szCs w:val="24"/>
          <w:lang w:val="cs-CZ" w:eastAsia="zh-CN" w:bidi="ar-SA"/>
        </w:rPr>
        <w:t>.2025</w:t>
      </w:r>
      <w:r>
        <w:rPr>
          <w:rFonts w:cs="Calibri" w:ascii="Calibri" w:hAnsi="Calibri"/>
        </w:rPr>
        <w:tab/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u w:val="single"/>
        </w:rPr>
      </w:pPr>
      <w:r>
        <w:rPr>
          <w:rFonts w:cs="Calibri" w:ascii="Calibri" w:hAnsi="Calibri"/>
          <w:u w:val="single"/>
        </w:rPr>
        <w:tab/>
        <w:tab/>
        <w:tab/>
        <w:tab/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ředitelka Jarošová Aranka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502" w:hanging="360"/>
      </w:pPr>
      <w:rPr>
        <w:sz w:val="24"/>
        <w:b w:val="false"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b w:val="false"/>
      <w:bCs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sz w:val="2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Times New Roman" w:hAnsi="Times New Roman" w:eastAsia="Times New Roman" w:cs="Times New Roman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u w:val="none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St4z0">
    <w:name w:val="WW8NumSt4z0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Hyperlink">
    <w:name w:val="Hyperlink"/>
    <w:basedOn w:val="Standardnpsmoodstavce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/>
    <w:rPr>
      <w:color w:val="000000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2">
    <w:name w:val="Základní text 2"/>
    <w:basedOn w:val="Normal"/>
    <w:qFormat/>
    <w:pPr>
      <w:jc w:val="both"/>
    </w:pPr>
    <w:rPr/>
  </w:style>
  <w:style w:type="paragraph" w:styleId="Subtitle">
    <w:name w:val="Subtitle"/>
    <w:basedOn w:val="Normal"/>
    <w:next w:val="BodyText"/>
    <w:qFormat/>
    <w:pPr>
      <w:overflowPunct w:val="false"/>
      <w:jc w:val="center"/>
      <w:textAlignment w:val="baseline"/>
    </w:pPr>
    <w:rPr>
      <w:b/>
      <w:sz w:val="28"/>
      <w:szCs w:val="20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kolka@mslibina.cz" TargetMode="External"/><Relationship Id="rId3" Type="http://schemas.openxmlformats.org/officeDocument/2006/relationships/hyperlink" Target="http://www.mslibina.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LibreOffice/24.2.0.3$Windows_X86_64 LibreOffice_project/da48488a73ddd66ea24cf16bbc4f7b9c08e9bea1</Application>
  <AppVersion>15.0000</AppVersion>
  <Pages>3</Pages>
  <Words>931</Words>
  <Characters>5189</Characters>
  <CharactersWithSpaces>6431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2015-07-15T09:52:00Z</dcterms:created>
  <dc:creator>Štoček</dc:creator>
  <dc:description/>
  <dc:language>cs-CZ</dc:language>
  <cp:lastModifiedBy/>
  <cp:lastPrinted>2023-07-30T12:56:03Z</cp:lastPrinted>
  <dcterms:modified xsi:type="dcterms:W3CDTF">2025-02-25T08:55:52Z</dcterms:modified>
  <cp:revision>24</cp:revision>
  <dc:subject/>
  <dc:title>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