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Override PartName="/customXml/itemProps5.xml" ContentType="application/vnd.openxmlformats-officedocument.customXmlProperties+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both"/>
        <w:rPr>
          <w:rFonts w:ascii="Calibri" w:hAnsi="Calibri" w:cs="Calibri" w:asciiTheme="minorHAnsi" w:cstheme="minorHAnsi" w:hAnsiTheme="minorHAnsi"/>
          <w:b/>
          <w:b/>
        </w:rPr>
      </w:pPr>
      <w:r>
        <w:rPr>
          <w:rFonts w:cs="Calibri" w:ascii="Calibri" w:hAnsi="Calibri" w:asciiTheme="minorHAnsi" w:cstheme="minorHAnsi" w:hAnsiTheme="minorHAnsi"/>
          <w:b/>
        </w:rPr>
        <w:t>Příloha právního aktu o poskytnutí/převodu podpory č. 1</w:t>
      </w:r>
    </w:p>
    <w:p>
      <w:pPr>
        <w:pStyle w:val="Normal"/>
        <w:spacing w:lineRule="auto" w:line="240" w:before="0" w:after="120"/>
        <w:jc w:val="both"/>
        <w:rPr>
          <w:rFonts w:ascii="Calibri" w:hAnsi="Calibri" w:cs="Calibri" w:asciiTheme="minorHAnsi" w:cstheme="minorHAnsi" w:hAnsiTheme="minorHAnsi"/>
          <w:b/>
          <w:b/>
          <w:spacing w:val="-4"/>
        </w:rPr>
      </w:pPr>
      <w:r>
        <w:rPr>
          <w:rFonts w:cs="Calibri" w:ascii="Calibri" w:hAnsi="Calibri" w:asciiTheme="minorHAnsi" w:cstheme="minorHAnsi" w:hAnsiTheme="minorHAnsi"/>
          <w:b/>
          <w:spacing w:val="-4"/>
        </w:rPr>
        <w:t>Snížené odvody za porušení rozpočtové kázně v důsledku nedodržení povinností při zadávání zakázek</w:t>
      </w:r>
    </w:p>
    <w:p>
      <w:pPr>
        <w:pStyle w:val="Normal"/>
        <w:numPr>
          <w:ilvl w:val="0"/>
          <w:numId w:val="2"/>
        </w:numPr>
        <w:spacing w:lineRule="auto" w:line="240" w:before="0" w:after="120"/>
        <w:ind w:left="284" w:hanging="284"/>
        <w:jc w:val="both"/>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Obecná ustanovení</w:t>
      </w:r>
    </w:p>
    <w:p>
      <w:pPr>
        <w:pStyle w:val="Normal"/>
        <w:numPr>
          <w:ilvl w:val="0"/>
          <w:numId w:val="1"/>
        </w:numPr>
        <w:spacing w:lineRule="auto" w:line="240" w:before="0" w:after="120"/>
        <w:ind w:left="284" w:hanging="284"/>
        <w:jc w:val="both"/>
        <w:rPr>
          <w:rFonts w:ascii="Calibri" w:hAnsi="Calibri" w:cs="Calibri" w:asciiTheme="minorHAnsi" w:cstheme="minorHAnsi" w:hAnsiTheme="minorHAnsi"/>
        </w:rPr>
      </w:pPr>
      <w:r>
        <w:rPr>
          <w:rFonts w:cs="Calibri" w:ascii="Calibri" w:hAnsi="Calibri" w:asciiTheme="minorHAnsi" w:cstheme="minorHAnsi" w:hAnsiTheme="minorHAnsi"/>
        </w:rPr>
        <w:t>Podle této přílohy se v souladu s § 14 odst. 6 rozpočtových pravidel stanovuje výše odvodu za porušení rozpočtové kázně v případě pochybení, které spočívá v porušení povinností stanovených v části II, bodu 8</w:t>
      </w:r>
      <w:bookmarkStart w:id="0" w:name="_GoBack"/>
      <w:bookmarkEnd w:id="0"/>
      <w:r>
        <w:rPr>
          <w:rFonts w:cs="Calibri" w:ascii="Calibri" w:hAnsi="Calibri" w:asciiTheme="minorHAnsi" w:cstheme="minorHAnsi" w:hAnsiTheme="minorHAnsi"/>
        </w:rPr>
        <w:t xml:space="preserve"> tohoto právního aktu o poskytnutí/převodu podpory při zadávání zakázek, zejména v nedodržení postupu podle zákona č. 134/2016, o zadávání veřejných zakázek, ve znění pozdějších předpisů (dále souhrnně jen „zákon“) nebo nedodržení postupu podle pravidel</w:t>
        <w:br/>
        <w:t>pro výběr dodavatelů upravených v kapitole 12 Pravidel pro žadatele a příjemce (dále jen „PpŽP“).</w:t>
      </w:r>
    </w:p>
    <w:p>
      <w:pPr>
        <w:pStyle w:val="Normal"/>
        <w:numPr>
          <w:ilvl w:val="0"/>
          <w:numId w:val="1"/>
        </w:numPr>
        <w:spacing w:lineRule="auto" w:line="240" w:before="0" w:after="120"/>
        <w:ind w:left="284" w:hanging="284"/>
        <w:jc w:val="both"/>
        <w:rPr>
          <w:rFonts w:ascii="Calibri" w:hAnsi="Calibri" w:cs="Calibri" w:asciiTheme="minorHAnsi" w:cstheme="minorHAnsi" w:hAnsiTheme="minorHAnsi"/>
        </w:rPr>
      </w:pPr>
      <w:r>
        <w:rPr>
          <w:rFonts w:cs="Calibri" w:ascii="Calibri" w:hAnsi="Calibri" w:asciiTheme="minorHAnsi" w:cstheme="minorHAnsi" w:hAnsiTheme="minorHAnsi"/>
        </w:rPr>
        <w:t>Výše sníženého odvodu bude stanovena dle níže uvedených pravidel a sazeb.</w:t>
      </w:r>
    </w:p>
    <w:p>
      <w:pPr>
        <w:pStyle w:val="Normal"/>
        <w:numPr>
          <w:ilvl w:val="0"/>
          <w:numId w:val="1"/>
        </w:numPr>
        <w:spacing w:lineRule="auto" w:line="240" w:before="0" w:after="120"/>
        <w:ind w:left="284" w:hanging="284"/>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Sazba sníženého odvodu se stanovuje z částky poskytnutých prostředků použitých na financování dané veřejné zakázky nebo částky nárokované k proplacení v souvislosti s danou veřejnou zakázkou v případě ex-post financování. </w:t>
      </w:r>
    </w:p>
    <w:p>
      <w:pPr>
        <w:pStyle w:val="Normal"/>
        <w:numPr>
          <w:ilvl w:val="0"/>
          <w:numId w:val="1"/>
        </w:numPr>
        <w:spacing w:lineRule="auto" w:line="240" w:before="0" w:after="120"/>
        <w:ind w:left="284" w:hanging="284"/>
        <w:jc w:val="both"/>
        <w:rPr>
          <w:rFonts w:ascii="Calibri" w:hAnsi="Calibri" w:cs="Calibri" w:asciiTheme="minorHAnsi" w:cstheme="minorHAnsi" w:hAnsiTheme="minorHAnsi"/>
        </w:rPr>
      </w:pPr>
      <w:r>
        <w:rPr>
          <w:rFonts w:cs="Calibri" w:ascii="Calibri" w:hAnsi="Calibri" w:asciiTheme="minorHAnsi" w:cstheme="minorHAnsi" w:hAnsiTheme="minorHAnsi"/>
        </w:rPr>
        <w:t>V případě, že bude u zakázky identifikováno více pochybení, výše snížených odvodů stanovených za jednotlivá pochybení se nesčítají a výsledný snížený odvod je stanoven s ohledem na nejzávažnější pochybení.</w:t>
      </w:r>
    </w:p>
    <w:p>
      <w:pPr>
        <w:pStyle w:val="Normal"/>
        <w:numPr>
          <w:ilvl w:val="0"/>
          <w:numId w:val="1"/>
        </w:numPr>
        <w:spacing w:lineRule="auto" w:line="240" w:before="0" w:after="120"/>
        <w:ind w:left="284" w:hanging="284"/>
        <w:jc w:val="both"/>
        <w:rPr>
          <w:rFonts w:ascii="Calibri" w:hAnsi="Calibri" w:cs="Calibri" w:asciiTheme="minorHAnsi" w:cstheme="minorHAnsi" w:hAnsiTheme="minorHAnsi"/>
        </w:rPr>
      </w:pPr>
      <w:r>
        <w:rPr>
          <w:rFonts w:cs="Calibri" w:ascii="Calibri" w:hAnsi="Calibri" w:asciiTheme="minorHAnsi" w:cstheme="minorHAnsi" w:hAnsiTheme="minorHAnsi"/>
        </w:rPr>
        <w:t>Závažnost pochybení je posuzována zejména z hlediska jeho skutečného nebo možného vlivu na výsledek zadávacího nebo výběrového řízení, z hlediska míry porušení základních zásad zadávání zakázek a z hlediska míry porušení principů hospodárnosti, efektivity a účelnosti při vynakládání veřejných prostředků.</w:t>
      </w:r>
    </w:p>
    <w:p>
      <w:pPr>
        <w:pStyle w:val="Normal"/>
        <w:numPr>
          <w:ilvl w:val="0"/>
          <w:numId w:val="1"/>
        </w:numPr>
        <w:spacing w:lineRule="auto" w:line="240" w:before="0" w:after="120"/>
        <w:ind w:left="284" w:hanging="284"/>
        <w:jc w:val="both"/>
        <w:rPr>
          <w:rFonts w:ascii="Calibri" w:hAnsi="Calibri" w:cs="Calibri" w:asciiTheme="minorHAnsi" w:cstheme="minorHAnsi" w:hAnsiTheme="minorHAnsi"/>
        </w:rPr>
      </w:pPr>
      <w:r>
        <w:rPr>
          <w:rFonts w:cs="Calibri" w:ascii="Calibri" w:hAnsi="Calibri" w:asciiTheme="minorHAnsi" w:cstheme="minorHAnsi" w:hAnsiTheme="minorHAnsi"/>
        </w:rPr>
        <w:t>Je-li možné vyčíslit přesný finanční dopad pochybení, výše sníženého odvodu se rovná výši vyčísleného finančního dopadu. V takovém případě se ustanovení čl. II nepoužijí.</w:t>
      </w:r>
      <w:r>
        <w:br w:type="page"/>
      </w:r>
    </w:p>
    <w:p>
      <w:pPr>
        <w:pStyle w:val="Normal"/>
        <w:numPr>
          <w:ilvl w:val="0"/>
          <w:numId w:val="2"/>
        </w:numPr>
        <w:spacing w:lineRule="auto" w:line="240" w:before="0" w:after="120"/>
        <w:ind w:left="284" w:hanging="284"/>
        <w:jc w:val="both"/>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Druhy pochybení a sazby snížených odvodů za porušení rozpočtové kázně</w:t>
      </w:r>
    </w:p>
    <w:tbl>
      <w:tblPr>
        <w:tblStyle w:val="Mkatabulky1"/>
        <w:tblW w:w="5000" w:type="pct"/>
        <w:jc w:val="left"/>
        <w:tblInd w:w="0" w:type="dxa"/>
        <w:tblCellMar>
          <w:top w:w="113" w:type="dxa"/>
          <w:left w:w="57" w:type="dxa"/>
          <w:bottom w:w="113" w:type="dxa"/>
          <w:right w:w="57" w:type="dxa"/>
        </w:tblCellMar>
        <w:tblLook w:firstRow="1" w:noVBand="1" w:lastRow="0" w:firstColumn="0" w:lastColumn="0" w:noHBand="1" w:val="0620"/>
      </w:tblPr>
      <w:tblGrid>
        <w:gridCol w:w="647"/>
        <w:gridCol w:w="2807"/>
        <w:gridCol w:w="2809"/>
        <w:gridCol w:w="2808"/>
      </w:tblGrid>
      <w:tr>
        <w:trPr>
          <w:tblHeader w:val="true"/>
        </w:trPr>
        <w:tc>
          <w:tcPr>
            <w:tcW w:w="647" w:type="dxa"/>
            <w:tcBorders>
              <w:top w:val="single" w:sz="12" w:space="0" w:color="00000A"/>
              <w:left w:val="single" w:sz="12" w:space="0" w:color="00000A"/>
              <w:bottom w:val="single" w:sz="12" w:space="0" w:color="00000A"/>
              <w:insideH w:val="single" w:sz="12" w:space="0" w:color="00000A"/>
            </w:tcBorders>
            <w:shd w:color="auto" w:fill="D9D9D9" w:themeFill="background1" w:themeFillShade="d9" w:val="clear"/>
            <w:tcMar>
              <w:left w:w="57" w:type="dxa"/>
            </w:tcMar>
          </w:tcPr>
          <w:p>
            <w:pPr>
              <w:pStyle w:val="Normal"/>
              <w:widowControl w:val="false"/>
              <w:spacing w:lineRule="auto" w:line="240" w:before="0" w:after="0"/>
              <w:jc w:val="center"/>
              <w:rPr>
                <w:rFonts w:cs="Calibri" w:cstheme="minorHAnsi"/>
                <w:b/>
                <w:b/>
              </w:rPr>
            </w:pPr>
            <w:r>
              <w:rPr>
                <w:rFonts w:cs="Calibri" w:ascii="Calibri" w:hAnsi="Calibri" w:cstheme="minorHAnsi"/>
                <w:b/>
              </w:rPr>
              <w:t>Bod</w:t>
            </w:r>
          </w:p>
        </w:tc>
        <w:tc>
          <w:tcPr>
            <w:tcW w:w="2807" w:type="dxa"/>
            <w:tcBorders>
              <w:top w:val="single" w:sz="12" w:space="0" w:color="00000A"/>
              <w:bottom w:val="single" w:sz="12" w:space="0" w:color="00000A"/>
              <w:insideH w:val="single" w:sz="12" w:space="0" w:color="00000A"/>
            </w:tcBorders>
            <w:shd w:color="auto" w:fill="D9D9D9" w:themeFill="background1" w:themeFillShade="d9" w:val="clear"/>
            <w:tcMar>
              <w:left w:w="67" w:type="dxa"/>
            </w:tcMar>
            <w:vAlign w:val="center"/>
          </w:tcPr>
          <w:p>
            <w:pPr>
              <w:pStyle w:val="Normal"/>
              <w:widowControl w:val="false"/>
              <w:spacing w:lineRule="auto" w:line="240" w:before="0" w:after="0"/>
              <w:jc w:val="center"/>
              <w:rPr>
                <w:rFonts w:cs="Calibri" w:cstheme="minorHAnsi"/>
                <w:b/>
                <w:b/>
              </w:rPr>
            </w:pPr>
            <w:r>
              <w:rPr>
                <w:rFonts w:cs="Calibri" w:ascii="Calibri" w:hAnsi="Calibri" w:cstheme="minorHAnsi"/>
                <w:b/>
              </w:rPr>
              <w:t>Typ pochybení</w:t>
            </w:r>
          </w:p>
        </w:tc>
        <w:tc>
          <w:tcPr>
            <w:tcW w:w="2809" w:type="dxa"/>
            <w:tcBorders>
              <w:top w:val="single" w:sz="12" w:space="0" w:color="00000A"/>
              <w:bottom w:val="single" w:sz="12" w:space="0" w:color="00000A"/>
              <w:insideH w:val="single" w:sz="12" w:space="0" w:color="00000A"/>
            </w:tcBorders>
            <w:shd w:color="auto" w:fill="D9D9D9" w:themeFill="background1" w:themeFillShade="d9" w:val="clear"/>
            <w:tcMar>
              <w:left w:w="67" w:type="dxa"/>
            </w:tcMar>
            <w:vAlign w:val="center"/>
          </w:tcPr>
          <w:p>
            <w:pPr>
              <w:pStyle w:val="Normal"/>
              <w:widowControl w:val="false"/>
              <w:spacing w:lineRule="auto" w:line="240" w:before="0" w:after="0"/>
              <w:jc w:val="center"/>
              <w:rPr>
                <w:rFonts w:cs="Calibri" w:cstheme="minorHAnsi"/>
                <w:b/>
                <w:b/>
              </w:rPr>
            </w:pPr>
            <w:r>
              <w:rPr>
                <w:rFonts w:cs="Calibri" w:ascii="Calibri" w:hAnsi="Calibri" w:cstheme="minorHAnsi"/>
                <w:b/>
              </w:rPr>
              <w:t>Popis pochybení</w:t>
            </w:r>
          </w:p>
        </w:tc>
        <w:tc>
          <w:tcPr>
            <w:tcW w:w="2808" w:type="dxa"/>
            <w:tcBorders>
              <w:top w:val="single" w:sz="12" w:space="0" w:color="00000A"/>
              <w:bottom w:val="single" w:sz="12" w:space="0" w:color="00000A"/>
              <w:right w:val="single" w:sz="12" w:space="0" w:color="00000A"/>
              <w:insideH w:val="single" w:sz="12" w:space="0" w:color="00000A"/>
              <w:insideV w:val="single" w:sz="12" w:space="0" w:color="00000A"/>
            </w:tcBorders>
            <w:shd w:color="auto" w:fill="D9D9D9" w:themeFill="background1" w:themeFillShade="d9" w:val="clear"/>
            <w:tcMar>
              <w:left w:w="67" w:type="dxa"/>
            </w:tcMar>
            <w:vAlign w:val="center"/>
          </w:tcPr>
          <w:p>
            <w:pPr>
              <w:pStyle w:val="Normal"/>
              <w:widowControl w:val="false"/>
              <w:spacing w:lineRule="auto" w:line="240" w:before="0" w:after="0"/>
              <w:jc w:val="center"/>
              <w:rPr>
                <w:rFonts w:cs="Calibri" w:cstheme="minorHAnsi"/>
                <w:b/>
                <w:b/>
              </w:rPr>
            </w:pPr>
            <w:r>
              <w:rPr>
                <w:rFonts w:cs="Calibri" w:ascii="Calibri" w:hAnsi="Calibri" w:cstheme="minorHAnsi"/>
                <w:b/>
              </w:rPr>
              <w:t>Sazba sníženého odvodu</w:t>
            </w:r>
          </w:p>
        </w:tc>
      </w:tr>
      <w:tr>
        <w:trPr>
          <w:trHeight w:val="20" w:hRule="atLeast"/>
        </w:trPr>
        <w:tc>
          <w:tcPr>
            <w:tcW w:w="647" w:type="dxa"/>
            <w:vMerge w:val="restart"/>
            <w:tcBorders>
              <w:top w:val="single" w:sz="12" w:space="0" w:color="00000A"/>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Nedodržení požadovaného způsobu zahájení řízení</w:t>
            </w:r>
          </w:p>
        </w:tc>
        <w:tc>
          <w:tcPr>
            <w:tcW w:w="2809"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 xml:space="preserve">Zadavatel zadal zakázku, </w:t>
              <w:br/>
              <w:t>aniž by zahájil zadávací řízení v souladu se zákonem nebo výběrové řízení v souladu s PPŽP.</w:t>
            </w:r>
          </w:p>
        </w:tc>
        <w:tc>
          <w:tcPr>
            <w:tcW w:w="2808" w:type="dxa"/>
            <w:tcBorders>
              <w:top w:val="single" w:sz="12" w:space="0" w:color="00000A"/>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100 %</w:t>
            </w:r>
          </w:p>
        </w:tc>
      </w:tr>
      <w:tr>
        <w:trPr>
          <w:trHeight w:val="20" w:hRule="atLeast"/>
        </w:trPr>
        <w:tc>
          <w:tcPr>
            <w:tcW w:w="647" w:type="dxa"/>
            <w:vMerge w:val="continue"/>
            <w:tcBorders>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continue"/>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9" w:type="dxa"/>
            <w:vMerge w:val="continue"/>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25 %, pokud byla dodržena určitá míra uveřejnění, která umožnila potenciálním dodavatelům přístup k zadávané zakázce</w:t>
            </w:r>
          </w:p>
        </w:tc>
      </w:tr>
      <w:tr>
        <w:trPr>
          <w:trHeight w:val="20" w:hRule="atLeast"/>
        </w:trPr>
        <w:tc>
          <w:tcPr>
            <w:tcW w:w="647" w:type="dxa"/>
            <w:vMerge w:val="restart"/>
            <w:tcBorders>
              <w:top w:val="single" w:sz="12" w:space="0" w:color="00000A"/>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Neoprávněné rozdělení předmětu zakázky</w:t>
            </w:r>
          </w:p>
        </w:tc>
        <w:tc>
          <w:tcPr>
            <w:tcW w:w="2809"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 xml:space="preserve">Zadavatel rozdělil předmět zakázky tak, že tím došlo </w:t>
              <w:br/>
              <w:t>ke snížení předpokládané hodnoty pod finanční limity stanovené v zákoně nebo v PPŽP.</w:t>
            </w:r>
          </w:p>
        </w:tc>
        <w:tc>
          <w:tcPr>
            <w:tcW w:w="2808" w:type="dxa"/>
            <w:tcBorders>
              <w:top w:val="single" w:sz="12" w:space="0" w:color="00000A"/>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100 %</w:t>
            </w:r>
          </w:p>
        </w:tc>
      </w:tr>
      <w:tr>
        <w:trPr>
          <w:trHeight w:val="20" w:hRule="atLeast"/>
        </w:trPr>
        <w:tc>
          <w:tcPr>
            <w:tcW w:w="647" w:type="dxa"/>
            <w:vMerge w:val="continue"/>
            <w:tcBorders>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continue"/>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9" w:type="dxa"/>
            <w:vMerge w:val="continue"/>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 xml:space="preserve">25 %, pokud byla dodržena určitá míra uveřejnění, </w:t>
              <w:br/>
              <w:t xml:space="preserve">která umožnila možným dodavatelům přístup </w:t>
              <w:br/>
              <w:t>k zadávané zakázce</w:t>
            </w:r>
          </w:p>
        </w:tc>
      </w:tr>
      <w:tr>
        <w:trPr>
          <w:trHeight w:val="759" w:hRule="atLeast"/>
        </w:trPr>
        <w:tc>
          <w:tcPr>
            <w:tcW w:w="647" w:type="dxa"/>
            <w:vMerge w:val="restart"/>
            <w:tcBorders>
              <w:top w:val="single" w:sz="12" w:space="0" w:color="00000A"/>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Nedodržení minimální délky lhůty pro podání nabídek, předběžných nabídek nebo žádostí o účast</w:t>
            </w:r>
          </w:p>
        </w:tc>
        <w:tc>
          <w:tcPr>
            <w:tcW w:w="2809"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Zadavatel stanovil lhůtu pro podání nabídek, předběžných nabídek nebo žádostí o účast tak, že jejich délka nedosahovala minimálních lhůt stanovených v zákoně nebo v PPŽP.</w:t>
            </w:r>
          </w:p>
        </w:tc>
        <w:tc>
          <w:tcPr>
            <w:tcW w:w="2808" w:type="dxa"/>
            <w:tcBorders>
              <w:top w:val="single" w:sz="12" w:space="0" w:color="00000A"/>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 xml:space="preserve">25 %, pokud je zkrácení </w:t>
              <w:br/>
              <w:t>vyšší nebo rovno 50 % délky minimální lhůty</w:t>
            </w:r>
          </w:p>
        </w:tc>
      </w:tr>
      <w:tr>
        <w:trPr>
          <w:trHeight w:val="757" w:hRule="atLeast"/>
        </w:trPr>
        <w:tc>
          <w:tcPr>
            <w:tcW w:w="647" w:type="dxa"/>
            <w:vMerge w:val="continue"/>
            <w:tcBorders>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continue"/>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9" w:type="dxa"/>
            <w:vMerge w:val="continue"/>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 xml:space="preserve">10 %, pokud je zkrácení </w:t>
              <w:br/>
              <w:t>vyšší nebo rovno 30 % délky minimální lhůty</w:t>
            </w:r>
          </w:p>
        </w:tc>
      </w:tr>
      <w:tr>
        <w:trPr>
          <w:trHeight w:val="252" w:hRule="atLeast"/>
        </w:trPr>
        <w:tc>
          <w:tcPr>
            <w:tcW w:w="647" w:type="dxa"/>
            <w:vMerge w:val="continue"/>
            <w:tcBorders>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continue"/>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9" w:type="dxa"/>
            <w:vMerge w:val="continue"/>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2 % až 5 % dle závažnosti pochybení v případě jiného zkrácení</w:t>
            </w:r>
          </w:p>
        </w:tc>
      </w:tr>
      <w:tr>
        <w:trPr>
          <w:trHeight w:val="20" w:hRule="atLeast"/>
        </w:trPr>
        <w:tc>
          <w:tcPr>
            <w:tcW w:w="647" w:type="dxa"/>
            <w:vMerge w:val="restart"/>
            <w:tcBorders>
              <w:top w:val="single" w:sz="12" w:space="0" w:color="00000A"/>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Neuveřejnění prodloužení lhůty pro podání nabídek, předběžných nabídek nebo žádostí o účast</w:t>
            </w:r>
          </w:p>
        </w:tc>
        <w:tc>
          <w:tcPr>
            <w:tcW w:w="2809"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Zadavatel v průběhu zadávacího nebo výběrového řízení prodloužil lhůtu pro podání nabídek nebo žádostí o účast, aniž by tuto skutečnost uveřejnil způsobem stanoveným v zákoně nebo PPŽP, resp. způsobem, jakým bylo zahájeno zadávací nebo výběrové řízení.</w:t>
            </w:r>
          </w:p>
        </w:tc>
        <w:tc>
          <w:tcPr>
            <w:tcW w:w="2808" w:type="dxa"/>
            <w:tcBorders>
              <w:top w:val="single" w:sz="12" w:space="0" w:color="00000A"/>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10 %</w:t>
            </w:r>
          </w:p>
        </w:tc>
      </w:tr>
      <w:tr>
        <w:trPr>
          <w:trHeight w:val="1140" w:hRule="atLeast"/>
        </w:trPr>
        <w:tc>
          <w:tcPr>
            <w:tcW w:w="647" w:type="dxa"/>
            <w:vMerge w:val="continue"/>
            <w:tcBorders>
              <w:left w:val="single" w:sz="12" w:space="0" w:color="00000A"/>
              <w:bottom w:val="single" w:sz="12" w:space="0" w:color="00000A"/>
              <w:insideH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9"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bottom w:val="single" w:sz="12" w:space="0" w:color="00000A"/>
              <w:right w:val="single" w:sz="12" w:space="0" w:color="00000A"/>
              <w:insideH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5 % v případě menší závažnosti pochybení</w:t>
            </w:r>
          </w:p>
        </w:tc>
      </w:tr>
      <w:tr>
        <w:trPr>
          <w:trHeight w:val="20" w:hRule="atLeast"/>
        </w:trPr>
        <w:tc>
          <w:tcPr>
            <w:tcW w:w="647" w:type="dxa"/>
            <w:vMerge w:val="restart"/>
            <w:tcBorders>
              <w:top w:val="single" w:sz="12" w:space="0" w:color="00000A"/>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Nedostatečné vymezení požadavků na kvalifikaci</w:t>
            </w:r>
          </w:p>
        </w:tc>
        <w:tc>
          <w:tcPr>
            <w:tcW w:w="2809"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Zadavatel neuvedl v oznámení o zahájení zadávacího nebo výběrového řízení požadavky na kvalifikaci, případně tyto požadavky nevymezil dostatečně určitě.</w:t>
            </w:r>
          </w:p>
        </w:tc>
        <w:tc>
          <w:tcPr>
            <w:tcW w:w="2808" w:type="dxa"/>
            <w:tcBorders>
              <w:top w:val="single" w:sz="12" w:space="0" w:color="00000A"/>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25 %</w:t>
            </w:r>
          </w:p>
        </w:tc>
      </w:tr>
      <w:tr>
        <w:trPr>
          <w:trHeight w:val="1140" w:hRule="atLeast"/>
        </w:trPr>
        <w:tc>
          <w:tcPr>
            <w:tcW w:w="647" w:type="dxa"/>
            <w:vMerge w:val="continue"/>
            <w:tcBorders>
              <w:left w:val="single" w:sz="12" w:space="0" w:color="00000A"/>
              <w:bottom w:val="single" w:sz="12" w:space="0" w:color="00000A"/>
              <w:insideH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9"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bottom w:val="single" w:sz="12" w:space="0" w:color="00000A"/>
              <w:right w:val="single" w:sz="12" w:space="0" w:color="00000A"/>
              <w:insideH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10 % nebo 5 % v případě menší závažnosti pochybení</w:t>
            </w:r>
          </w:p>
        </w:tc>
      </w:tr>
      <w:tr>
        <w:trPr>
          <w:trHeight w:val="50" w:hRule="atLeast"/>
        </w:trPr>
        <w:tc>
          <w:tcPr>
            <w:tcW w:w="647" w:type="dxa"/>
            <w:vMerge w:val="restart"/>
            <w:tcBorders>
              <w:top w:val="single" w:sz="12" w:space="0" w:color="00000A"/>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Nedostatečné vymezení pravidel pro hodnocení nabídek</w:t>
            </w:r>
          </w:p>
        </w:tc>
        <w:tc>
          <w:tcPr>
            <w:tcW w:w="2809"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Zadavatel neuvedl v oznámení o zahájení zadávacího nebo výběrového řízení nebo v zadávací dokumentaci pravidla pro hodnocení nabídek, případně pravidla pro hodnocení nabídek nevymezil dostatečně určitě.</w:t>
            </w:r>
          </w:p>
        </w:tc>
        <w:tc>
          <w:tcPr>
            <w:tcW w:w="2808" w:type="dxa"/>
            <w:tcBorders>
              <w:top w:val="single" w:sz="12" w:space="0" w:color="00000A"/>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25 %</w:t>
            </w:r>
          </w:p>
        </w:tc>
      </w:tr>
      <w:tr>
        <w:trPr>
          <w:trHeight w:val="1267" w:hRule="atLeast"/>
        </w:trPr>
        <w:tc>
          <w:tcPr>
            <w:tcW w:w="647" w:type="dxa"/>
            <w:vMerge w:val="continue"/>
            <w:tcBorders>
              <w:left w:val="single" w:sz="12" w:space="0" w:color="00000A"/>
              <w:bottom w:val="single" w:sz="12" w:space="0" w:color="00000A"/>
              <w:insideH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9"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bottom w:val="single" w:sz="12" w:space="0" w:color="00000A"/>
              <w:right w:val="single" w:sz="12" w:space="0" w:color="00000A"/>
              <w:insideH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10 % nebo 5 % v případě menší závažnosti pochybení</w:t>
            </w:r>
          </w:p>
        </w:tc>
      </w:tr>
      <w:tr>
        <w:trPr>
          <w:trHeight w:val="20" w:hRule="atLeast"/>
        </w:trPr>
        <w:tc>
          <w:tcPr>
            <w:tcW w:w="647" w:type="dxa"/>
            <w:vMerge w:val="restart"/>
            <w:tcBorders>
              <w:top w:val="single" w:sz="12" w:space="0" w:color="00000A"/>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Stanovení požadavků na kvalifikaci v rozporu se zákonem nebo PPŽP</w:t>
            </w:r>
          </w:p>
        </w:tc>
        <w:tc>
          <w:tcPr>
            <w:tcW w:w="2809"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Zadavatel stanovil diskriminační nebo jiné protiprávní požadavky na kvalifikaci, včetně případů, kdy tyto požadavky bezprostředně nesouvisely s předmětem zakázky.</w:t>
            </w:r>
          </w:p>
        </w:tc>
        <w:tc>
          <w:tcPr>
            <w:tcW w:w="2808" w:type="dxa"/>
            <w:tcBorders>
              <w:top w:val="single" w:sz="12" w:space="0" w:color="00000A"/>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25 %</w:t>
            </w:r>
          </w:p>
        </w:tc>
      </w:tr>
      <w:tr>
        <w:trPr>
          <w:trHeight w:val="1140" w:hRule="atLeast"/>
        </w:trPr>
        <w:tc>
          <w:tcPr>
            <w:tcW w:w="647" w:type="dxa"/>
            <w:vMerge w:val="continue"/>
            <w:tcBorders>
              <w:left w:val="single" w:sz="12" w:space="0" w:color="00000A"/>
              <w:bottom w:val="single" w:sz="12" w:space="0" w:color="00000A"/>
              <w:insideH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9"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bottom w:val="single" w:sz="12" w:space="0" w:color="00000A"/>
              <w:right w:val="single" w:sz="12" w:space="0" w:color="00000A"/>
              <w:insideH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10 % nebo 5 % v případě menší závažnosti pochybení</w:t>
            </w:r>
          </w:p>
        </w:tc>
      </w:tr>
      <w:tr>
        <w:trPr>
          <w:trHeight w:val="20" w:hRule="atLeast"/>
        </w:trPr>
        <w:tc>
          <w:tcPr>
            <w:tcW w:w="647" w:type="dxa"/>
            <w:vMerge w:val="restart"/>
            <w:tcBorders>
              <w:top w:val="single" w:sz="12" w:space="0" w:color="00000A"/>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Stanovení pravidel pro hodnocení nabídek v rozporu se zákonem nebo PPŽP</w:t>
            </w:r>
          </w:p>
        </w:tc>
        <w:tc>
          <w:tcPr>
            <w:tcW w:w="2809"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Zadavatel stanovil diskriminační nebo jiná protiprávní pravidla pro hodnocení nabídek, včetně případů, kdy hodnotící kritéria nevyjadřují vztah užitné hodnoty a ceny, resp. kvalitativní, environmentální nebo sociální hlediska spojená s předmětem zakázky.</w:t>
            </w:r>
          </w:p>
        </w:tc>
        <w:tc>
          <w:tcPr>
            <w:tcW w:w="2808" w:type="dxa"/>
            <w:tcBorders>
              <w:top w:val="single" w:sz="12" w:space="0" w:color="00000A"/>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25 %</w:t>
            </w:r>
          </w:p>
        </w:tc>
      </w:tr>
      <w:tr>
        <w:trPr>
          <w:trHeight w:val="1395" w:hRule="atLeast"/>
        </w:trPr>
        <w:tc>
          <w:tcPr>
            <w:tcW w:w="647" w:type="dxa"/>
            <w:vMerge w:val="continue"/>
            <w:tcBorders>
              <w:left w:val="single" w:sz="12" w:space="0" w:color="00000A"/>
              <w:bottom w:val="single" w:sz="12" w:space="0" w:color="00000A"/>
              <w:insideH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9"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bottom w:val="single" w:sz="12" w:space="0" w:color="00000A"/>
              <w:right w:val="single" w:sz="12" w:space="0" w:color="00000A"/>
              <w:insideH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10 % nebo 5 % v případě menší závažnosti pochybení</w:t>
            </w:r>
          </w:p>
        </w:tc>
      </w:tr>
      <w:tr>
        <w:trPr>
          <w:trHeight w:val="20" w:hRule="atLeast"/>
        </w:trPr>
        <w:tc>
          <w:tcPr>
            <w:tcW w:w="647" w:type="dxa"/>
            <w:vMerge w:val="restart"/>
            <w:tcBorders>
              <w:top w:val="single" w:sz="12" w:space="0" w:color="00000A"/>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Stanovení technických podmínek nebo jiných podmínek účasti v řízení v rozporu se zákonem nebo PPŽP</w:t>
            </w:r>
          </w:p>
        </w:tc>
        <w:tc>
          <w:tcPr>
            <w:tcW w:w="2809"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Zadavatel stanovil podmínky účasti, zejména technické podmínky, obchodní podmínky nebo jiné výše neuvedené podmínky účasti v zadávacím nebo výběrovém řízení diskriminačním způsobem nebo jiným způsobem v rozporu se zákonem nebo PPŽP.</w:t>
            </w:r>
          </w:p>
        </w:tc>
        <w:tc>
          <w:tcPr>
            <w:tcW w:w="2808" w:type="dxa"/>
            <w:tcBorders>
              <w:top w:val="single" w:sz="12" w:space="0" w:color="00000A"/>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25 %</w:t>
            </w:r>
          </w:p>
        </w:tc>
      </w:tr>
      <w:tr>
        <w:trPr>
          <w:trHeight w:val="125" w:hRule="atLeast"/>
        </w:trPr>
        <w:tc>
          <w:tcPr>
            <w:tcW w:w="647" w:type="dxa"/>
            <w:vMerge w:val="continue"/>
            <w:tcBorders>
              <w:left w:val="single" w:sz="12" w:space="0" w:color="00000A"/>
              <w:bottom w:val="single" w:sz="12" w:space="0" w:color="00000A"/>
              <w:insideH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9"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bottom w:val="single" w:sz="12" w:space="0" w:color="00000A"/>
              <w:right w:val="single" w:sz="12" w:space="0" w:color="00000A"/>
              <w:insideH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10 % nebo 5 % v případě menší závažnosti pochybení</w:t>
            </w:r>
          </w:p>
        </w:tc>
      </w:tr>
      <w:tr>
        <w:trPr>
          <w:trHeight w:val="20" w:hRule="atLeast"/>
        </w:trPr>
        <w:tc>
          <w:tcPr>
            <w:tcW w:w="647" w:type="dxa"/>
            <w:vMerge w:val="restart"/>
            <w:tcBorders>
              <w:top w:val="single" w:sz="12" w:space="0" w:color="00000A"/>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Nedostatečné vymezení předmětu zakázky</w:t>
            </w:r>
          </w:p>
        </w:tc>
        <w:tc>
          <w:tcPr>
            <w:tcW w:w="2809"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Zadavatel nevymezil předmět zakázky v podrobnostech nezbytných pro zpracování nabídky.</w:t>
            </w:r>
          </w:p>
        </w:tc>
        <w:tc>
          <w:tcPr>
            <w:tcW w:w="2808" w:type="dxa"/>
            <w:tcBorders>
              <w:top w:val="single" w:sz="12" w:space="0" w:color="00000A"/>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25 %</w:t>
            </w:r>
          </w:p>
        </w:tc>
      </w:tr>
      <w:tr>
        <w:trPr>
          <w:trHeight w:val="20" w:hRule="atLeast"/>
        </w:trPr>
        <w:tc>
          <w:tcPr>
            <w:tcW w:w="647" w:type="dxa"/>
            <w:vMerge w:val="continue"/>
            <w:tcBorders>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continue"/>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9" w:type="dxa"/>
            <w:vMerge w:val="continue"/>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10 % nebo 5 % v případě menší závažnosti pochybení</w:t>
            </w:r>
          </w:p>
        </w:tc>
      </w:tr>
      <w:tr>
        <w:trPr>
          <w:trHeight w:val="20" w:hRule="atLeast"/>
        </w:trPr>
        <w:tc>
          <w:tcPr>
            <w:tcW w:w="647" w:type="dxa"/>
            <w:vMerge w:val="restart"/>
            <w:tcBorders>
              <w:top w:val="single" w:sz="12" w:space="0" w:color="00000A"/>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Použití jednacího řízení s uveřejněním v rozporu se zákonem</w:t>
            </w:r>
          </w:p>
        </w:tc>
        <w:tc>
          <w:tcPr>
            <w:tcW w:w="2809"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Zadavatel zadal zakázku</w:t>
            </w:r>
          </w:p>
          <w:p>
            <w:pPr>
              <w:pStyle w:val="Normal"/>
              <w:widowControl w:val="false"/>
              <w:spacing w:lineRule="auto" w:line="240" w:before="0" w:after="0"/>
              <w:rPr>
                <w:rFonts w:cs="Calibri" w:cstheme="minorHAnsi"/>
              </w:rPr>
            </w:pPr>
            <w:r>
              <w:rPr>
                <w:rFonts w:cs="Calibri" w:ascii="Calibri" w:hAnsi="Calibri" w:cstheme="minorHAnsi"/>
              </w:rPr>
              <w:t>v jednacím řízení s uveřejněním, aniž by byly splněny zákonné podmínky pro takový postup, nebo v průběhu jednacího řízení s uveřejněním podstatně změnil zadávací podmínky.</w:t>
            </w:r>
          </w:p>
        </w:tc>
        <w:tc>
          <w:tcPr>
            <w:tcW w:w="2808" w:type="dxa"/>
            <w:tcBorders>
              <w:top w:val="single" w:sz="12" w:space="0" w:color="00000A"/>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25 %</w:t>
            </w:r>
          </w:p>
        </w:tc>
      </w:tr>
      <w:tr>
        <w:trPr>
          <w:trHeight w:val="960" w:hRule="atLeast"/>
        </w:trPr>
        <w:tc>
          <w:tcPr>
            <w:tcW w:w="647" w:type="dxa"/>
            <w:vMerge w:val="continue"/>
            <w:tcBorders>
              <w:left w:val="single" w:sz="12" w:space="0" w:color="00000A"/>
              <w:bottom w:val="single" w:sz="12" w:space="0" w:color="00000A"/>
              <w:insideH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9"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bottom w:val="single" w:sz="12" w:space="0" w:color="00000A"/>
              <w:right w:val="single" w:sz="12" w:space="0" w:color="00000A"/>
              <w:insideH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10 % nebo 5 % v případě menší závažnosti pochybení</w:t>
            </w:r>
          </w:p>
        </w:tc>
      </w:tr>
      <w:tr>
        <w:trPr>
          <w:trHeight w:val="279" w:hRule="atLeast"/>
        </w:trPr>
        <w:tc>
          <w:tcPr>
            <w:tcW w:w="647" w:type="dxa"/>
            <w:vMerge w:val="restart"/>
            <w:tcBorders>
              <w:top w:val="single" w:sz="12" w:space="0" w:color="00000A"/>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Nedodržení zadávacích podmínek při zadávání zakázky</w:t>
            </w:r>
          </w:p>
        </w:tc>
        <w:tc>
          <w:tcPr>
            <w:tcW w:w="2809"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Zadavatel při zadávání zakázky nedodržel stanovené zadávací podmínky, zejména technické podmínky, požadavky na kvalifikaci, pravidla pro hodnocení, obchodní podmínky nebo jiné podmínky účasti v zadávacím nebo výběrovém řízení nebo podmínky průběhu zadávacího nebo výběrového řízení.</w:t>
            </w:r>
          </w:p>
        </w:tc>
        <w:tc>
          <w:tcPr>
            <w:tcW w:w="2808" w:type="dxa"/>
            <w:tcBorders>
              <w:top w:val="single" w:sz="12" w:space="0" w:color="00000A"/>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25 %</w:t>
            </w:r>
          </w:p>
        </w:tc>
      </w:tr>
      <w:tr>
        <w:trPr>
          <w:trHeight w:val="20" w:hRule="atLeast"/>
        </w:trPr>
        <w:tc>
          <w:tcPr>
            <w:tcW w:w="647" w:type="dxa"/>
            <w:vMerge w:val="continue"/>
            <w:tcBorders>
              <w:left w:val="single" w:sz="12" w:space="0" w:color="00000A"/>
              <w:bottom w:val="single" w:sz="12" w:space="0" w:color="00000A"/>
              <w:insideH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9"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bottom w:val="single" w:sz="12" w:space="0" w:color="00000A"/>
              <w:right w:val="single" w:sz="12" w:space="0" w:color="00000A"/>
              <w:insideH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10 % nebo 5 % v případě menší závažnosti pochybení</w:t>
            </w:r>
          </w:p>
        </w:tc>
      </w:tr>
      <w:tr>
        <w:trPr>
          <w:trHeight w:val="20" w:hRule="atLeast"/>
        </w:trPr>
        <w:tc>
          <w:tcPr>
            <w:tcW w:w="647" w:type="dxa"/>
            <w:vMerge w:val="restart"/>
            <w:tcBorders>
              <w:top w:val="single" w:sz="12" w:space="0" w:color="00000A"/>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Nedodržení základních zásad zadávání zakázek při posouzení nebo hodnocení nabídek</w:t>
            </w:r>
          </w:p>
        </w:tc>
        <w:tc>
          <w:tcPr>
            <w:tcW w:w="2809"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Zadavatel porušil základní zásady zadávání zakázek při posouzení nebo hodnocení nabídek, včetně případů, kdy v rozporu se zákonem či PPŽP jednal o nabídce, umožnil dodatečné změny nabídky nebo nezajistil nezbytnou auditní stopu posouzení nebo hodnocení nabídek.</w:t>
            </w:r>
          </w:p>
        </w:tc>
        <w:tc>
          <w:tcPr>
            <w:tcW w:w="2808" w:type="dxa"/>
            <w:tcBorders>
              <w:top w:val="single" w:sz="12" w:space="0" w:color="00000A"/>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25 %</w:t>
            </w:r>
          </w:p>
        </w:tc>
      </w:tr>
      <w:tr>
        <w:trPr>
          <w:trHeight w:val="337" w:hRule="atLeast"/>
        </w:trPr>
        <w:tc>
          <w:tcPr>
            <w:tcW w:w="647" w:type="dxa"/>
            <w:vMerge w:val="continue"/>
            <w:tcBorders>
              <w:left w:val="single" w:sz="12" w:space="0" w:color="00000A"/>
              <w:bottom w:val="single" w:sz="12" w:space="0" w:color="00000A"/>
              <w:insideH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color w:val="FF0000"/>
              </w:rPr>
            </w:pPr>
            <w:r>
              <w:rPr>
                <w:rFonts w:cs="Calibri" w:ascii="Calibri" w:hAnsi="Calibri"/>
                <w:color w:val="FF0000"/>
              </w:rPr>
            </w:r>
          </w:p>
        </w:tc>
        <w:tc>
          <w:tcPr>
            <w:tcW w:w="2807"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color w:val="FF0000"/>
              </w:rPr>
            </w:pPr>
            <w:r>
              <w:rPr>
                <w:rFonts w:cs="Calibri" w:ascii="Calibri" w:hAnsi="Calibri"/>
                <w:color w:val="FF0000"/>
              </w:rPr>
            </w:r>
          </w:p>
        </w:tc>
        <w:tc>
          <w:tcPr>
            <w:tcW w:w="2809"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color w:val="FF0000"/>
              </w:rPr>
            </w:pPr>
            <w:r>
              <w:rPr>
                <w:rFonts w:cs="Calibri" w:ascii="Calibri" w:hAnsi="Calibri"/>
                <w:color w:val="FF0000"/>
              </w:rPr>
            </w:r>
          </w:p>
        </w:tc>
        <w:tc>
          <w:tcPr>
            <w:tcW w:w="2808" w:type="dxa"/>
            <w:tcBorders>
              <w:bottom w:val="single" w:sz="12" w:space="0" w:color="00000A"/>
              <w:right w:val="single" w:sz="12" w:space="0" w:color="00000A"/>
              <w:insideH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10 % nebo 5 % v případě menší závažnosti pochybení</w:t>
            </w:r>
          </w:p>
        </w:tc>
      </w:tr>
      <w:tr>
        <w:trPr/>
        <w:tc>
          <w:tcPr>
            <w:tcW w:w="647" w:type="dxa"/>
            <w:tcBorders>
              <w:top w:val="single" w:sz="12" w:space="0" w:color="00000A"/>
              <w:left w:val="single" w:sz="12" w:space="0" w:color="00000A"/>
              <w:bottom w:val="single" w:sz="12" w:space="0" w:color="00000A"/>
              <w:insideH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tcBorders>
              <w:top w:val="single" w:sz="12" w:space="0" w:color="00000A"/>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Neoprávněné vyřazení nabídky z důvodu mimořádně nízké nabídkové ceny</w:t>
            </w:r>
          </w:p>
        </w:tc>
        <w:tc>
          <w:tcPr>
            <w:tcW w:w="2809" w:type="dxa"/>
            <w:tcBorders>
              <w:top w:val="single" w:sz="12" w:space="0" w:color="00000A"/>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Zadavatel vyřadil nabídku z důvodu mimořádně nízké nabídkové ceny, aniž by požádal účastníka zadávacího nebo výběrového řízení o odpovídající zdůvodnění.</w:t>
            </w:r>
          </w:p>
        </w:tc>
        <w:tc>
          <w:tcPr>
            <w:tcW w:w="2808"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25 %</w:t>
            </w:r>
          </w:p>
        </w:tc>
      </w:tr>
      <w:tr>
        <w:trPr>
          <w:trHeight w:val="20" w:hRule="atLeast"/>
        </w:trPr>
        <w:tc>
          <w:tcPr>
            <w:tcW w:w="647" w:type="dxa"/>
            <w:vMerge w:val="restart"/>
            <w:tcBorders>
              <w:top w:val="single" w:sz="12" w:space="0" w:color="00000A"/>
              <w:left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restart"/>
            <w:tcBorders>
              <w:top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Zvýhodnění určitého dodavatele</w:t>
            </w:r>
          </w:p>
        </w:tc>
        <w:tc>
          <w:tcPr>
            <w:tcW w:w="2809" w:type="dxa"/>
            <w:vMerge w:val="restart"/>
            <w:tcBorders>
              <w:top w:val="single" w:sz="12" w:space="0" w:color="00000A"/>
              <w:right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nejvhodnější nabídky.</w:t>
            </w:r>
          </w:p>
        </w:tc>
        <w:tc>
          <w:tcPr>
            <w:tcW w:w="2808" w:type="dxa"/>
            <w:tcBorders>
              <w:top w:val="single" w:sz="12" w:space="0" w:color="00000A"/>
              <w:left w:val="single" w:sz="12" w:space="0" w:color="00000A"/>
              <w:right w:val="single" w:sz="12" w:space="0" w:color="00000A"/>
              <w:insideV w:val="single" w:sz="12" w:space="0" w:color="00000A"/>
            </w:tcBorders>
            <w:shd w:fill="auto" w:val="clear"/>
            <w:tcMar>
              <w:left w:w="57" w:type="dxa"/>
            </w:tcMar>
          </w:tcPr>
          <w:p>
            <w:pPr>
              <w:pStyle w:val="Normal"/>
              <w:widowControl w:val="false"/>
              <w:spacing w:lineRule="auto" w:line="240" w:before="0" w:after="0"/>
              <w:rPr>
                <w:rFonts w:cs="Calibri" w:cstheme="minorHAnsi"/>
              </w:rPr>
            </w:pPr>
            <w:r>
              <w:rPr>
                <w:rFonts w:cs="Calibri" w:ascii="Calibri" w:hAnsi="Calibri" w:cstheme="minorHAnsi"/>
              </w:rPr>
              <w:t>25 %</w:t>
            </w:r>
          </w:p>
        </w:tc>
      </w:tr>
      <w:tr>
        <w:trPr>
          <w:trHeight w:val="861" w:hRule="atLeast"/>
        </w:trPr>
        <w:tc>
          <w:tcPr>
            <w:tcW w:w="647" w:type="dxa"/>
            <w:vMerge w:val="continue"/>
            <w:tcBorders>
              <w:left w:val="single" w:sz="12" w:space="0" w:color="00000A"/>
              <w:bottom w:val="single" w:sz="12" w:space="0" w:color="00000A"/>
              <w:insideH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vMerge w:val="continue"/>
            <w:tcBorders>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9" w:type="dxa"/>
            <w:vMerge w:val="continue"/>
            <w:tcBorders>
              <w:bottom w:val="single" w:sz="12" w:space="0" w:color="00000A"/>
              <w:right w:val="single" w:sz="12" w:space="0" w:color="00000A"/>
              <w:insideH w:val="single" w:sz="12" w:space="0" w:color="00000A"/>
              <w:insideV w:val="single" w:sz="12" w:space="0" w:color="00000A"/>
            </w:tcBorders>
            <w:shd w:fill="auto" w:val="clear"/>
            <w:tcMar>
              <w:left w:w="6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57" w:type="dxa"/>
            </w:tcMar>
          </w:tcPr>
          <w:p>
            <w:pPr>
              <w:pStyle w:val="Normal"/>
              <w:widowControl w:val="false"/>
              <w:spacing w:lineRule="auto" w:line="240" w:before="0" w:after="0"/>
              <w:rPr>
                <w:rFonts w:cs="Calibri" w:cstheme="minorHAnsi"/>
              </w:rPr>
            </w:pPr>
            <w:r>
              <w:rPr>
                <w:rFonts w:cs="Calibri" w:ascii="Calibri" w:hAnsi="Calibri" w:cstheme="minorHAnsi"/>
              </w:rPr>
              <w:t>10 % nebo 5 % v případě menší závažnosti pochybení</w:t>
            </w:r>
          </w:p>
        </w:tc>
      </w:tr>
      <w:tr>
        <w:trPr/>
        <w:tc>
          <w:tcPr>
            <w:tcW w:w="647" w:type="dxa"/>
            <w:tcBorders>
              <w:top w:val="single" w:sz="12" w:space="0" w:color="00000A"/>
              <w:left w:val="single" w:sz="12" w:space="0" w:color="00000A"/>
              <w:bottom w:val="single" w:sz="12" w:space="0" w:color="00000A"/>
              <w:insideH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tcBorders>
              <w:top w:val="single" w:sz="12" w:space="0" w:color="00000A"/>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 xml:space="preserve">Střet zájmů </w:t>
            </w:r>
          </w:p>
        </w:tc>
        <w:tc>
          <w:tcPr>
            <w:tcW w:w="2809" w:type="dxa"/>
            <w:tcBorders>
              <w:top w:val="single" w:sz="12" w:space="0" w:color="00000A"/>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Příslušný soud nebo jiný orgán pravomocně rozhodl, že při zadávání zakázky došlo ke střetu zájmů, včetně případů, kdy příslušný soud pravomocně rozhodl, že byl při zadávání zakázky spáchán trestný čin.</w:t>
            </w:r>
          </w:p>
        </w:tc>
        <w:tc>
          <w:tcPr>
            <w:tcW w:w="2808"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100 %</w:t>
            </w:r>
          </w:p>
        </w:tc>
      </w:tr>
      <w:tr>
        <w:trPr/>
        <w:tc>
          <w:tcPr>
            <w:tcW w:w="647" w:type="dxa"/>
            <w:tcBorders>
              <w:top w:val="single" w:sz="12" w:space="0" w:color="00000A"/>
              <w:left w:val="single" w:sz="12" w:space="0" w:color="00000A"/>
              <w:bottom w:val="single" w:sz="12" w:space="0" w:color="00000A"/>
              <w:insideH w:val="single" w:sz="12" w:space="0" w:color="00000A"/>
            </w:tcBorders>
            <w:shd w:fill="auto" w:val="clear"/>
            <w:tcMar>
              <w:left w:w="5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7" w:type="dxa"/>
            <w:tcBorders>
              <w:top w:val="single" w:sz="12" w:space="0" w:color="00000A"/>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 xml:space="preserve">Podstatná změna závazku ze smlouvy </w:t>
            </w:r>
          </w:p>
        </w:tc>
        <w:tc>
          <w:tcPr>
            <w:tcW w:w="2809" w:type="dxa"/>
            <w:tcBorders>
              <w:top w:val="single" w:sz="12" w:space="0" w:color="00000A"/>
              <w:bottom w:val="single" w:sz="12" w:space="0" w:color="00000A"/>
              <w:insideH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Zadavatel umožnil podstatnou změnu závazku ze smlouvy na zakázku nebo práv a povinností vyplývajících ze smlouvy na zakázku v rozporu se zákonem nebo PPŽP, včetně podstatného zúžení rozsahu plnění zakázky, které by mohlo ovlivnit výběr nejvhodnější nabídky.</w:t>
            </w:r>
          </w:p>
        </w:tc>
        <w:tc>
          <w:tcPr>
            <w:tcW w:w="2808" w:type="dxa"/>
            <w:tcBorders>
              <w:top w:val="single" w:sz="12" w:space="0" w:color="00000A"/>
              <w:bottom w:val="single" w:sz="12" w:space="0" w:color="00000A"/>
              <w:right w:val="single" w:sz="12" w:space="0" w:color="00000A"/>
              <w:insideH w:val="single" w:sz="12" w:space="0" w:color="00000A"/>
              <w:insideV w:val="single" w:sz="12" w:space="0" w:color="00000A"/>
            </w:tcBorders>
            <w:shd w:fill="auto" w:val="clear"/>
            <w:tcMar>
              <w:left w:w="67" w:type="dxa"/>
            </w:tcMar>
          </w:tcPr>
          <w:p>
            <w:pPr>
              <w:pStyle w:val="Normal"/>
              <w:widowControl w:val="false"/>
              <w:spacing w:lineRule="auto" w:line="240" w:before="0" w:after="0"/>
              <w:rPr>
                <w:rFonts w:cs="Calibri" w:cstheme="minorHAnsi"/>
              </w:rPr>
            </w:pPr>
            <w:r>
              <w:rPr>
                <w:rFonts w:cs="Calibri" w:ascii="Calibri" w:hAnsi="Calibri" w:cstheme="minorHAnsi"/>
              </w:rPr>
              <w:t>25 %</w:t>
            </w:r>
          </w:p>
          <w:p>
            <w:pPr>
              <w:pStyle w:val="Normal"/>
              <w:widowControl w:val="false"/>
              <w:spacing w:lineRule="auto" w:line="240" w:before="0" w:after="0"/>
              <w:rPr>
                <w:rFonts w:ascii="Calibri" w:hAnsi="Calibri" w:cs="Calibri" w:cstheme="minorHAnsi"/>
              </w:rPr>
            </w:pPr>
            <w:r>
              <w:rPr>
                <w:rFonts w:cs="Calibri" w:cstheme="minorHAnsi" w:ascii="Calibri" w:hAnsi="Calibri"/>
              </w:rPr>
            </w:r>
          </w:p>
          <w:p>
            <w:pPr>
              <w:pStyle w:val="Normal"/>
              <w:widowControl w:val="false"/>
              <w:spacing w:lineRule="auto" w:line="240" w:before="0" w:after="0"/>
              <w:rPr>
                <w:rFonts w:cs="Calibri" w:cstheme="minorHAnsi"/>
              </w:rPr>
            </w:pPr>
            <w:r>
              <w:rPr>
                <w:rFonts w:cs="Calibri" w:ascii="Calibri" w:hAnsi="Calibri" w:cstheme="minorHAnsi"/>
              </w:rPr>
              <w:t>a dále</w:t>
            </w:r>
          </w:p>
          <w:p>
            <w:pPr>
              <w:pStyle w:val="Normal"/>
              <w:widowControl w:val="false"/>
              <w:spacing w:lineRule="auto" w:line="240" w:before="0" w:after="0"/>
              <w:rPr>
                <w:rFonts w:ascii="Calibri" w:hAnsi="Calibri" w:cs="Calibri" w:cstheme="minorHAnsi"/>
              </w:rPr>
            </w:pPr>
            <w:r>
              <w:rPr>
                <w:rFonts w:cs="Calibri" w:cstheme="minorHAnsi" w:ascii="Calibri" w:hAnsi="Calibri"/>
              </w:rPr>
            </w:r>
          </w:p>
          <w:p>
            <w:pPr>
              <w:pStyle w:val="Normal"/>
              <w:widowControl w:val="false"/>
              <w:spacing w:lineRule="auto" w:line="240" w:before="0" w:after="0"/>
              <w:rPr>
                <w:rFonts w:cs="Calibri" w:cstheme="minorHAnsi"/>
              </w:rPr>
            </w:pPr>
            <w:r>
              <w:rPr>
                <w:rFonts w:cs="Calibri" w:ascii="Calibri" w:hAnsi="Calibri" w:cstheme="minorHAnsi"/>
              </w:rPr>
              <w:t>100 % částky, o kterou byla případně zvýšena cena zakázky</w:t>
            </w:r>
          </w:p>
        </w:tc>
      </w:tr>
    </w:tbl>
    <w:p>
      <w:pPr>
        <w:pStyle w:val="Normal"/>
        <w:rPr>
          <w:rFonts w:ascii="Calibri" w:hAnsi="Calibri" w:cs="Calibri" w:asciiTheme="minorHAnsi" w:cstheme="minorHAnsi" w:hAnsiTheme="minorHAnsi"/>
        </w:rPr>
      </w:pPr>
      <w:r>
        <w:rPr>
          <w:rFonts w:cs="Calibri" w:cstheme="minorHAnsi" w:ascii="Calibri" w:hAnsi="Calibri"/>
        </w:rPr>
      </w:r>
      <w:r>
        <w:br w:type="page"/>
      </w:r>
    </w:p>
    <w:tbl>
      <w:tblPr>
        <w:tblStyle w:val="Mkatabulky1"/>
        <w:tblW w:w="5000" w:type="pct"/>
        <w:jc w:val="left"/>
        <w:tblInd w:w="0" w:type="dxa"/>
        <w:tblCellMar>
          <w:top w:w="113" w:type="dxa"/>
          <w:left w:w="107" w:type="dxa"/>
          <w:bottom w:w="113" w:type="dxa"/>
          <w:right w:w="108" w:type="dxa"/>
        </w:tblCellMar>
        <w:tblLook w:firstRow="1" w:noVBand="1" w:lastRow="0" w:firstColumn="0" w:lastColumn="0" w:noHBand="1" w:val="0620"/>
      </w:tblPr>
      <w:tblGrid>
        <w:gridCol w:w="647"/>
        <w:gridCol w:w="2808"/>
        <w:gridCol w:w="2808"/>
        <w:gridCol w:w="2808"/>
      </w:tblGrid>
      <w:tr>
        <w:trPr/>
        <w:tc>
          <w:tcPr>
            <w:tcW w:w="647" w:type="dxa"/>
            <w:tcBorders>
              <w:top w:val="single" w:sz="12" w:space="0" w:color="00000A"/>
              <w:left w:val="single" w:sz="12" w:space="0" w:color="00000A"/>
              <w:bottom w:val="single" w:sz="12" w:space="0" w:color="00000A"/>
              <w:insideH w:val="single" w:sz="12" w:space="0" w:color="00000A"/>
            </w:tcBorders>
            <w:shd w:color="auto" w:fill="D9D9D9" w:themeFill="background1" w:themeFillShade="d9" w:val="clear"/>
            <w:tcMar>
              <w:left w:w="107" w:type="dxa"/>
            </w:tcMar>
            <w:vAlign w:val="center"/>
          </w:tcPr>
          <w:p>
            <w:pPr>
              <w:pStyle w:val="Normal"/>
              <w:pageBreakBefore/>
              <w:widowControl w:val="false"/>
              <w:spacing w:lineRule="auto" w:line="240" w:before="0" w:after="0"/>
              <w:contextualSpacing/>
              <w:jc w:val="center"/>
              <w:rPr>
                <w:rFonts w:cs="Calibri" w:cstheme="minorHAnsi"/>
              </w:rPr>
            </w:pPr>
            <w:r>
              <w:rPr>
                <w:rFonts w:cs="Calibri" w:ascii="Calibri" w:hAnsi="Calibri" w:cstheme="minorHAnsi"/>
                <w:b/>
              </w:rPr>
              <w:t>Bod</w:t>
            </w:r>
          </w:p>
        </w:tc>
        <w:tc>
          <w:tcPr>
            <w:tcW w:w="2808" w:type="dxa"/>
            <w:tcBorders>
              <w:top w:val="single" w:sz="12" w:space="0" w:color="00000A"/>
              <w:bottom w:val="single" w:sz="12" w:space="0" w:color="00000A"/>
              <w:insideH w:val="single" w:sz="12" w:space="0" w:color="00000A"/>
            </w:tcBorders>
            <w:shd w:color="auto" w:fill="D9D9D9" w:themeFill="background1" w:themeFillShade="d9" w:val="clear"/>
            <w:tcMar>
              <w:left w:w="117" w:type="dxa"/>
            </w:tcMar>
            <w:vAlign w:val="center"/>
          </w:tcPr>
          <w:p>
            <w:pPr>
              <w:pStyle w:val="Normal"/>
              <w:widowControl w:val="false"/>
              <w:spacing w:lineRule="auto" w:line="240" w:before="0" w:after="0"/>
              <w:jc w:val="center"/>
              <w:rPr>
                <w:rFonts w:cs="Calibri" w:cstheme="minorHAnsi"/>
              </w:rPr>
            </w:pPr>
            <w:r>
              <w:rPr>
                <w:rFonts w:cs="Calibri" w:ascii="Calibri" w:hAnsi="Calibri" w:cstheme="minorHAnsi"/>
                <w:b/>
              </w:rPr>
              <w:t>Typ pochybení</w:t>
            </w:r>
          </w:p>
        </w:tc>
        <w:tc>
          <w:tcPr>
            <w:tcW w:w="2808" w:type="dxa"/>
            <w:tcBorders>
              <w:top w:val="single" w:sz="12" w:space="0" w:color="00000A"/>
              <w:bottom w:val="single" w:sz="12" w:space="0" w:color="00000A"/>
              <w:insideH w:val="single" w:sz="12" w:space="0" w:color="00000A"/>
            </w:tcBorders>
            <w:shd w:color="auto" w:fill="D9D9D9" w:themeFill="background1" w:themeFillShade="d9" w:val="clear"/>
            <w:tcMar>
              <w:left w:w="117" w:type="dxa"/>
            </w:tcMar>
            <w:vAlign w:val="center"/>
          </w:tcPr>
          <w:p>
            <w:pPr>
              <w:pStyle w:val="Normal"/>
              <w:widowControl w:val="false"/>
              <w:spacing w:lineRule="auto" w:line="240" w:before="0" w:after="0"/>
              <w:jc w:val="center"/>
              <w:rPr>
                <w:rFonts w:cs="Calibri" w:cstheme="minorHAnsi"/>
              </w:rPr>
            </w:pPr>
            <w:r>
              <w:rPr>
                <w:rFonts w:cs="Calibri" w:ascii="Calibri" w:hAnsi="Calibri" w:cstheme="minorHAnsi"/>
                <w:b/>
              </w:rPr>
              <w:t>Popis pochybení</w:t>
            </w:r>
          </w:p>
        </w:tc>
        <w:tc>
          <w:tcPr>
            <w:tcW w:w="2808" w:type="dxa"/>
            <w:tcBorders>
              <w:top w:val="single" w:sz="12" w:space="0" w:color="00000A"/>
              <w:bottom w:val="single" w:sz="12" w:space="0" w:color="00000A"/>
              <w:right w:val="single" w:sz="12" w:space="0" w:color="00000A"/>
              <w:insideH w:val="single" w:sz="12" w:space="0" w:color="00000A"/>
              <w:insideV w:val="single" w:sz="12" w:space="0" w:color="00000A"/>
            </w:tcBorders>
            <w:shd w:color="auto" w:fill="D9D9D9" w:themeFill="background1" w:themeFillShade="d9" w:val="clear"/>
            <w:tcMar>
              <w:left w:w="117" w:type="dxa"/>
            </w:tcMar>
            <w:vAlign w:val="center"/>
          </w:tcPr>
          <w:p>
            <w:pPr>
              <w:pStyle w:val="Normal"/>
              <w:widowControl w:val="false"/>
              <w:spacing w:lineRule="auto" w:line="240" w:before="0" w:after="0"/>
              <w:jc w:val="center"/>
              <w:rPr>
                <w:rFonts w:cs="Calibri" w:cstheme="minorHAnsi"/>
              </w:rPr>
            </w:pPr>
            <w:r>
              <w:rPr>
                <w:rFonts w:cs="Calibri" w:ascii="Calibri" w:hAnsi="Calibri" w:cstheme="minorHAnsi"/>
                <w:b/>
              </w:rPr>
              <w:t>Sazba sníženého odvodu</w:t>
            </w:r>
          </w:p>
        </w:tc>
      </w:tr>
      <w:tr>
        <w:trPr>
          <w:trHeight w:val="772" w:hRule="atLeast"/>
        </w:trPr>
        <w:tc>
          <w:tcPr>
            <w:tcW w:w="647" w:type="dxa"/>
            <w:vMerge w:val="restart"/>
            <w:tcBorders>
              <w:top w:val="single" w:sz="12" w:space="0" w:color="00000A"/>
              <w:left w:val="single" w:sz="12" w:space="0" w:color="00000A"/>
            </w:tcBorders>
            <w:shd w:fill="auto" w:val="clear"/>
            <w:tcMar>
              <w:left w:w="10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8" w:type="dxa"/>
            <w:vMerge w:val="restart"/>
            <w:tcBorders>
              <w:top w:val="single" w:sz="12" w:space="0" w:color="00000A"/>
            </w:tcBorders>
            <w:shd w:fill="auto" w:val="clear"/>
            <w:tcMar>
              <w:left w:w="117" w:type="dxa"/>
            </w:tcMar>
          </w:tcPr>
          <w:p>
            <w:pPr>
              <w:pStyle w:val="Normal"/>
              <w:widowControl w:val="false"/>
              <w:spacing w:lineRule="auto" w:line="240" w:before="0" w:after="0"/>
              <w:rPr>
                <w:rFonts w:cs="Calibri" w:cstheme="minorHAnsi"/>
              </w:rPr>
            </w:pPr>
            <w:r>
              <w:rPr>
                <w:rFonts w:cs="Calibri" w:ascii="Calibri" w:hAnsi="Calibri" w:cstheme="minorHAnsi"/>
              </w:rPr>
              <w:t>Neoprávněné zadání dodatečných stavebních prací, dodávek nebo služeb</w:t>
            </w:r>
          </w:p>
        </w:tc>
        <w:tc>
          <w:tcPr>
            <w:tcW w:w="2808" w:type="dxa"/>
            <w:vMerge w:val="restart"/>
            <w:tcBorders>
              <w:top w:val="single" w:sz="12" w:space="0" w:color="00000A"/>
            </w:tcBorders>
            <w:shd w:fill="auto" w:val="clear"/>
            <w:tcMar>
              <w:left w:w="117" w:type="dxa"/>
            </w:tcMar>
          </w:tcPr>
          <w:p>
            <w:pPr>
              <w:pStyle w:val="Normal"/>
              <w:widowControl w:val="false"/>
              <w:spacing w:lineRule="auto" w:line="240" w:before="0" w:after="0"/>
              <w:rPr>
                <w:rFonts w:cs="Calibri" w:cstheme="minorHAnsi"/>
              </w:rPr>
            </w:pPr>
            <w:r>
              <w:rPr>
                <w:rFonts w:cs="Calibri" w:ascii="Calibri" w:hAnsi="Calibri" w:cstheme="minorHAnsi"/>
              </w:rPr>
              <w:t>Zadavatel zadal zakázku, jejímž předmětem byly dodatečné stavební práce, služby nebo dodávky, nebo umožnil podstatnou změnu závazku ze smlouvy na zakázku vedoucí k provedení dodatečných stavební práce, služeb nebo dodávek, aniž by pro to byly splněny podmínky dle zákona nebo PPŽP.</w:t>
            </w:r>
          </w:p>
        </w:tc>
        <w:tc>
          <w:tcPr>
            <w:tcW w:w="2808" w:type="dxa"/>
            <w:tcBorders>
              <w:top w:val="single" w:sz="12" w:space="0" w:color="00000A"/>
              <w:right w:val="single" w:sz="12" w:space="0" w:color="00000A"/>
              <w:insideV w:val="single" w:sz="12" w:space="0" w:color="00000A"/>
            </w:tcBorders>
            <w:shd w:fill="auto" w:val="clear"/>
            <w:tcMar>
              <w:left w:w="117" w:type="dxa"/>
            </w:tcMar>
          </w:tcPr>
          <w:p>
            <w:pPr>
              <w:pStyle w:val="Normal"/>
              <w:widowControl w:val="false"/>
              <w:spacing w:lineRule="auto" w:line="240" w:before="0" w:after="0"/>
              <w:rPr>
                <w:rFonts w:cs="Calibri" w:cstheme="minorHAnsi"/>
              </w:rPr>
            </w:pPr>
            <w:r>
              <w:rPr>
                <w:rFonts w:cs="Calibri" w:ascii="Calibri" w:hAnsi="Calibri" w:cstheme="minorHAnsi"/>
              </w:rPr>
              <w:t>100 % hodnoty dodatečných stavebních prací, dodávek nebo služeb</w:t>
            </w:r>
          </w:p>
        </w:tc>
      </w:tr>
      <w:tr>
        <w:trPr>
          <w:trHeight w:val="1012" w:hRule="atLeast"/>
        </w:trPr>
        <w:tc>
          <w:tcPr>
            <w:tcW w:w="647" w:type="dxa"/>
            <w:vMerge w:val="continue"/>
            <w:tcBorders>
              <w:left w:val="single" w:sz="12" w:space="0" w:color="00000A"/>
              <w:bottom w:val="single" w:sz="12" w:space="0" w:color="00000A"/>
              <w:insideH w:val="single" w:sz="12" w:space="0" w:color="00000A"/>
            </w:tcBorders>
            <w:shd w:fill="auto" w:val="clear"/>
            <w:tcMar>
              <w:left w:w="10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8" w:type="dxa"/>
            <w:vMerge w:val="continue"/>
            <w:tcBorders>
              <w:bottom w:val="single" w:sz="12" w:space="0" w:color="00000A"/>
              <w:insideH w:val="single" w:sz="12" w:space="0" w:color="00000A"/>
            </w:tcBorders>
            <w:shd w:fill="auto" w:val="clear"/>
            <w:tcMar>
              <w:left w:w="11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vMerge w:val="continue"/>
            <w:tcBorders>
              <w:bottom w:val="single" w:sz="12" w:space="0" w:color="00000A"/>
              <w:insideH w:val="single" w:sz="12" w:space="0" w:color="00000A"/>
            </w:tcBorders>
            <w:shd w:fill="auto" w:val="clear"/>
            <w:tcMar>
              <w:left w:w="11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bottom w:val="single" w:sz="12" w:space="0" w:color="00000A"/>
              <w:right w:val="single" w:sz="12" w:space="0" w:color="00000A"/>
              <w:insideH w:val="single" w:sz="12" w:space="0" w:color="00000A"/>
              <w:insideV w:val="single" w:sz="12" w:space="0" w:color="00000A"/>
            </w:tcBorders>
            <w:shd w:fill="auto" w:val="clear"/>
            <w:tcMar>
              <w:left w:w="117" w:type="dxa"/>
            </w:tcMar>
          </w:tcPr>
          <w:p>
            <w:pPr>
              <w:pStyle w:val="Normal"/>
              <w:widowControl w:val="false"/>
              <w:spacing w:lineRule="auto" w:line="240" w:before="0" w:after="0"/>
              <w:rPr>
                <w:rFonts w:cs="Calibri" w:cstheme="minorHAnsi"/>
              </w:rPr>
            </w:pPr>
            <w:r>
              <w:rPr>
                <w:rFonts w:cs="Calibri" w:ascii="Calibri" w:hAnsi="Calibri" w:cstheme="minorHAnsi"/>
              </w:rPr>
              <w:t>25 % hodnoty dodatečných zakázek, pokud jejich celková hodnota nepřesahuje 50 % hodnoty původní zakázky a zároveň nedosahuje finančních limitů stanovených ve směrnici 2014/24/EU</w:t>
            </w:r>
          </w:p>
        </w:tc>
      </w:tr>
      <w:tr>
        <w:trPr>
          <w:trHeight w:val="20" w:hRule="atLeast"/>
        </w:trPr>
        <w:tc>
          <w:tcPr>
            <w:tcW w:w="647" w:type="dxa"/>
            <w:vMerge w:val="restart"/>
            <w:tcBorders>
              <w:top w:val="single" w:sz="12" w:space="0" w:color="00000A"/>
              <w:left w:val="single" w:sz="12" w:space="0" w:color="00000A"/>
            </w:tcBorders>
            <w:shd w:fill="auto" w:val="clear"/>
            <w:tcMar>
              <w:left w:w="10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8" w:type="dxa"/>
            <w:vMerge w:val="restart"/>
            <w:tcBorders>
              <w:top w:val="single" w:sz="12" w:space="0" w:color="00000A"/>
            </w:tcBorders>
            <w:shd w:fill="auto" w:val="clear"/>
            <w:tcMar>
              <w:left w:w="117" w:type="dxa"/>
            </w:tcMar>
          </w:tcPr>
          <w:p>
            <w:pPr>
              <w:pStyle w:val="Normal"/>
              <w:widowControl w:val="false"/>
              <w:spacing w:lineRule="auto" w:line="240" w:before="0" w:after="0"/>
              <w:rPr>
                <w:rFonts w:cs="Calibri" w:cstheme="minorHAnsi"/>
              </w:rPr>
            </w:pPr>
            <w:r>
              <w:rPr>
                <w:rFonts w:cs="Calibri" w:ascii="Calibri" w:hAnsi="Calibri" w:cstheme="minorHAnsi"/>
              </w:rPr>
              <w:t>Jiné pochybení</w:t>
            </w:r>
          </w:p>
        </w:tc>
        <w:tc>
          <w:tcPr>
            <w:tcW w:w="2808" w:type="dxa"/>
            <w:vMerge w:val="restart"/>
            <w:tcBorders>
              <w:top w:val="single" w:sz="12" w:space="0" w:color="00000A"/>
            </w:tcBorders>
            <w:shd w:fill="auto" w:val="clear"/>
            <w:tcMar>
              <w:left w:w="117" w:type="dxa"/>
            </w:tcMar>
          </w:tcPr>
          <w:p>
            <w:pPr>
              <w:pStyle w:val="Normal"/>
              <w:widowControl w:val="false"/>
              <w:spacing w:lineRule="auto" w:line="240" w:before="0" w:after="0"/>
              <w:rPr>
                <w:rFonts w:cs="Calibri" w:cstheme="minorHAnsi"/>
              </w:rPr>
            </w:pPr>
            <w:r>
              <w:rPr>
                <w:rFonts w:cs="Calibri" w:ascii="Calibri" w:hAnsi="Calibri" w:cstheme="minorHAnsi"/>
              </w:rPr>
              <w:t>Zadavatel se dopustil jiného než výše uvedeného pochybení, které mělo nebo mohlo mít vliv na výběr nejvhodnější nabídky, nebo které znemožnilo ověření souladu jeho postupu s části II, bodu 10 tohoto právního aktu o poskytnutí/převodu podpory, včetně neuchování dokumentace o zakázce nebo nezajištění nezbytné auditní stopy.</w:t>
            </w:r>
          </w:p>
        </w:tc>
        <w:tc>
          <w:tcPr>
            <w:tcW w:w="2808" w:type="dxa"/>
            <w:tcBorders>
              <w:top w:val="single" w:sz="12" w:space="0" w:color="00000A"/>
              <w:right w:val="single" w:sz="12" w:space="0" w:color="00000A"/>
              <w:insideV w:val="single" w:sz="12" w:space="0" w:color="00000A"/>
            </w:tcBorders>
            <w:shd w:fill="auto" w:val="clear"/>
            <w:tcMar>
              <w:left w:w="117" w:type="dxa"/>
            </w:tcMar>
          </w:tcPr>
          <w:p>
            <w:pPr>
              <w:pStyle w:val="Normal"/>
              <w:widowControl w:val="false"/>
              <w:spacing w:lineRule="auto" w:line="240" w:before="0" w:after="0"/>
              <w:rPr>
                <w:rFonts w:cs="Calibri" w:cstheme="minorHAnsi"/>
              </w:rPr>
            </w:pPr>
            <w:r>
              <w:rPr>
                <w:rFonts w:cs="Calibri" w:ascii="Calibri" w:hAnsi="Calibri" w:cstheme="minorHAnsi"/>
              </w:rPr>
              <w:t>25 %</w:t>
            </w:r>
          </w:p>
        </w:tc>
      </w:tr>
      <w:tr>
        <w:trPr>
          <w:trHeight w:val="757" w:hRule="atLeast"/>
        </w:trPr>
        <w:tc>
          <w:tcPr>
            <w:tcW w:w="647" w:type="dxa"/>
            <w:vMerge w:val="continue"/>
            <w:tcBorders>
              <w:left w:val="single" w:sz="12" w:space="0" w:color="00000A"/>
              <w:bottom w:val="single" w:sz="12" w:space="0" w:color="00000A"/>
              <w:insideH w:val="single" w:sz="12" w:space="0" w:color="00000A"/>
            </w:tcBorders>
            <w:shd w:fill="auto" w:val="clear"/>
            <w:tcMar>
              <w:left w:w="107" w:type="dxa"/>
            </w:tcMar>
          </w:tcPr>
          <w:p>
            <w:pPr>
              <w:pStyle w:val="Normal"/>
              <w:widowControl w:val="false"/>
              <w:numPr>
                <w:ilvl w:val="0"/>
                <w:numId w:val="3"/>
              </w:numPr>
              <w:spacing w:lineRule="auto" w:line="240" w:before="0" w:after="0"/>
              <w:contextualSpacing/>
              <w:jc w:val="center"/>
              <w:rPr>
                <w:rFonts w:ascii="Calibri" w:hAnsi="Calibri" w:cs="Calibri" w:asciiTheme="minorHAnsi" w:hAnsiTheme="minorHAnsi"/>
              </w:rPr>
            </w:pPr>
            <w:r>
              <w:rPr>
                <w:rFonts w:cs="Calibri" w:ascii="Calibri" w:hAnsi="Calibri"/>
              </w:rPr>
            </w:r>
          </w:p>
        </w:tc>
        <w:tc>
          <w:tcPr>
            <w:tcW w:w="2808" w:type="dxa"/>
            <w:vMerge w:val="continue"/>
            <w:tcBorders>
              <w:bottom w:val="single" w:sz="12" w:space="0" w:color="00000A"/>
              <w:insideH w:val="single" w:sz="12" w:space="0" w:color="00000A"/>
            </w:tcBorders>
            <w:shd w:fill="auto" w:val="clear"/>
            <w:tcMar>
              <w:left w:w="11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vMerge w:val="continue"/>
            <w:tcBorders>
              <w:bottom w:val="single" w:sz="12" w:space="0" w:color="00000A"/>
              <w:insideH w:val="single" w:sz="12" w:space="0" w:color="00000A"/>
            </w:tcBorders>
            <w:shd w:fill="auto" w:val="clear"/>
            <w:tcMar>
              <w:left w:w="117" w:type="dxa"/>
            </w:tcMar>
          </w:tcPr>
          <w:p>
            <w:pPr>
              <w:pStyle w:val="Normal"/>
              <w:widowControl w:val="false"/>
              <w:spacing w:lineRule="auto" w:line="240" w:before="0" w:after="0"/>
              <w:rPr>
                <w:rFonts w:ascii="Calibri" w:hAnsi="Calibri" w:cs="Calibri" w:asciiTheme="minorHAnsi" w:hAnsiTheme="minorHAnsi"/>
              </w:rPr>
            </w:pPr>
            <w:r>
              <w:rPr>
                <w:rFonts w:cs="Calibri" w:ascii="Calibri" w:hAnsi="Calibri"/>
              </w:rPr>
            </w:r>
          </w:p>
        </w:tc>
        <w:tc>
          <w:tcPr>
            <w:tcW w:w="2808" w:type="dxa"/>
            <w:tcBorders>
              <w:bottom w:val="single" w:sz="12" w:space="0" w:color="00000A"/>
              <w:right w:val="single" w:sz="12" w:space="0" w:color="00000A"/>
              <w:insideH w:val="single" w:sz="12" w:space="0" w:color="00000A"/>
              <w:insideV w:val="single" w:sz="12" w:space="0" w:color="00000A"/>
            </w:tcBorders>
            <w:shd w:fill="auto" w:val="clear"/>
            <w:tcMar>
              <w:left w:w="117" w:type="dxa"/>
            </w:tcMar>
          </w:tcPr>
          <w:p>
            <w:pPr>
              <w:pStyle w:val="Normal"/>
              <w:widowControl w:val="false"/>
              <w:spacing w:lineRule="auto" w:line="240" w:before="0" w:after="0"/>
              <w:rPr>
                <w:rFonts w:cs="Calibri" w:cstheme="minorHAnsi"/>
              </w:rPr>
            </w:pPr>
            <w:r>
              <w:rPr>
                <w:rFonts w:cs="Calibri" w:ascii="Calibri" w:hAnsi="Calibri" w:cstheme="minorHAnsi"/>
              </w:rPr>
              <w:t>10 % nebo 5 % v případě menší závažnosti pochybení</w:t>
            </w:r>
          </w:p>
        </w:tc>
      </w:tr>
    </w:tbl>
    <w:p>
      <w:pPr>
        <w:pStyle w:val="Normal"/>
        <w:spacing w:before="0" w:after="160"/>
        <w:rPr/>
      </w:pPr>
      <w:r>
        <w:rPr/>
      </w:r>
    </w:p>
    <w:sectPr>
      <w:headerReference w:type="default" r:id="rId2"/>
      <w:footerReference w:type="default" r:id="rId3"/>
      <w:type w:val="nextPage"/>
      <w:pgSz w:w="11906" w:h="16838"/>
      <w:pgMar w:left="1417" w:right="1417" w:header="708" w:top="1985" w:footer="708" w:bottom="255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Light">
    <w:charset w:val="ee"/>
    <w:family w:val="roman"/>
    <w:pitch w:val="variable"/>
  </w:font>
  <w:font w:name="Segoe UI">
    <w:charset w:val="ee"/>
    <w:family w:val="roman"/>
    <w:pitch w:val="variable"/>
  </w:font>
  <w:font w:name="TimesNewRoman">
    <w:charset w:val="ee"/>
    <w:family w:val="roman"/>
    <w:pitch w:val="variable"/>
  </w:font>
  <w:font w:name="Times New Roman">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6241238"/>
    </w:sdtPr>
    <w:sdtContent>
      <w:p>
        <w:pPr>
          <w:pStyle w:val="Normal"/>
          <w:tabs>
            <w:tab w:val="center" w:pos="4550" w:leader="none"/>
            <w:tab w:val="left" w:pos="5818" w:leader="none"/>
          </w:tabs>
          <w:ind w:right="260" w:hanging="0"/>
          <w:jc w:val="right"/>
          <w:rPr/>
        </w:pPr>
        <w:r>
          <w:rPr/>
          <w:drawing>
            <wp:inline distT="0" distB="0" distL="0" distR="0">
              <wp:extent cx="4610100" cy="609600"/>
              <wp:effectExtent l="0" t="0" r="0" b="0"/>
              <wp:docPr id="2"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
                      <pic:cNvPicPr>
                        <a:picLocks noChangeAspect="1" noChangeArrowheads="1"/>
                      </pic:cNvPicPr>
                    </pic:nvPicPr>
                    <pic:blipFill>
                      <a:blip r:embed="rId1"/>
                      <a:srcRect l="-413" t="12036" r="413" b="28691"/>
                      <a:stretch>
                        <a:fillRect/>
                      </a:stretch>
                    </pic:blipFill>
                    <pic:spPr bwMode="auto">
                      <a:xfrm>
                        <a:off x="0" y="0"/>
                        <a:ext cx="4610100" cy="609600"/>
                      </a:xfrm>
                      <a:prstGeom prst="rect">
                        <a:avLst/>
                      </a:prstGeom>
                    </pic:spPr>
                  </pic:pic>
                </a:graphicData>
              </a:graphic>
            </wp:inline>
          </w:drawing>
        </w:r>
        <w:r>
          <w:rPr>
            <w:color w:val="323E4F" w:themeColor="text2" w:themeShade="bf"/>
            <w:sz w:val="20"/>
            <w:szCs w:val="20"/>
          </w:rPr>
          <w:fldChar w:fldCharType="begin"/>
        </w:r>
        <w:r>
          <w:instrText> PAGE </w:instrText>
        </w:r>
        <w:r>
          <w:fldChar w:fldCharType="separate"/>
        </w:r>
        <w:r>
          <w:t>7</w:t>
        </w:r>
        <w:r>
          <w:fldChar w:fldCharType="end"/>
        </w:r>
        <w:r>
          <w:rPr>
            <w:color w:val="323E4F" w:themeColor="text2" w:themeShade="bf"/>
            <w:sz w:val="20"/>
            <w:szCs w:val="20"/>
          </w:rPr>
          <w:t>|</w:t>
        </w:r>
        <w:r>
          <w:rPr>
            <w:color w:val="323E4F" w:themeColor="text2" w:themeShade="bf"/>
            <w:sz w:val="20"/>
            <w:szCs w:val="20"/>
          </w:rPr>
          <w:fldChar w:fldCharType="begin"/>
        </w:r>
        <w:r>
          <w:instrText> NUMPAGES \* ARABIC </w:instrText>
        </w:r>
        <w:r>
          <w:fldChar w:fldCharType="separate"/>
        </w:r>
        <w:r>
          <w:t>7</w:t>
        </w:r>
        <w:r>
          <w:fldChar w:fldCharType="end"/>
        </w:r>
      </w:p>
      <w:p>
        <w:pPr>
          <w:pStyle w:val="Zpat"/>
          <w:rPr/>
        </w:pPr>
        <w:r>
          <w:rPr/>
        </w:r>
      </w:p>
    </w:sdtContent>
  </w:sdt>
  <w:p>
    <w:pPr>
      <w:pStyle w:val="Zpat"/>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anchor behindDoc="1" distT="0" distB="3175" distL="114300" distR="123190" simplePos="0" locked="0" layoutInCell="1" allowOverlap="1" relativeHeight="8">
          <wp:simplePos x="0" y="0"/>
          <wp:positionH relativeFrom="column">
            <wp:posOffset>-899795</wp:posOffset>
          </wp:positionH>
          <wp:positionV relativeFrom="paragraph">
            <wp:posOffset>-449580</wp:posOffset>
          </wp:positionV>
          <wp:extent cx="7560310" cy="1063625"/>
          <wp:effectExtent l="0" t="0" r="0" b="0"/>
          <wp:wrapSquare wrapText="bothSides"/>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1"/>
                  <a:srcRect l="0" t="0" r="0" b="81267"/>
                  <a:stretch>
                    <a:fillRect/>
                  </a:stretch>
                </pic:blipFill>
                <pic:spPr bwMode="auto">
                  <a:xfrm>
                    <a:off x="0" y="0"/>
                    <a:ext cx="7560310" cy="10636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suff w:val="nothing"/>
      <w:lvlText w:val="%1."/>
      <w:lvlJc w:val="left"/>
      <w:pPr>
        <w:ind w:left="0" w:hanging="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462a"/>
    <w:pPr>
      <w:widowControl/>
      <w:bidi w:val="0"/>
      <w:spacing w:lineRule="auto" w:line="259" w:before="0" w:after="160"/>
      <w:jc w:val="left"/>
    </w:pPr>
    <w:rPr>
      <w:rFonts w:ascii="Arial" w:hAnsi="Arial" w:eastAsia="Calibri" w:cs="" w:cstheme="minorBidi" w:eastAsiaTheme="minorHAnsi"/>
      <w:color w:val="auto"/>
      <w:sz w:val="22"/>
      <w:szCs w:val="22"/>
      <w:lang w:val="cs-CZ" w:eastAsia="en-US" w:bidi="ar-SA"/>
    </w:rPr>
  </w:style>
  <w:style w:type="paragraph" w:styleId="Nadpis1">
    <w:name w:val="Heading 1"/>
    <w:basedOn w:val="Normal"/>
    <w:link w:val="Nadpis1Char"/>
    <w:uiPriority w:val="9"/>
    <w:qFormat/>
    <w:rsid w:val="00b9462a"/>
    <w:pPr>
      <w:keepNext/>
      <w:keepLines/>
      <w:spacing w:lineRule="auto" w:line="276" w:before="480" w:after="0"/>
      <w:outlineLvl w:val="0"/>
    </w:pPr>
    <w:rPr>
      <w:rFonts w:eastAsia="" w:cs="" w:cstheme="majorBidi" w:eastAsiaTheme="majorEastAsia"/>
      <w:b/>
      <w:bCs/>
      <w:color w:val="2E74B5" w:themeColor="accent1" w:themeShade="bf"/>
      <w:sz w:val="28"/>
      <w:szCs w:val="28"/>
    </w:rPr>
  </w:style>
  <w:style w:type="paragraph" w:styleId="Nadpis2">
    <w:name w:val="Heading 2"/>
    <w:basedOn w:val="Normal"/>
    <w:link w:val="Nadpis2Char"/>
    <w:uiPriority w:val="9"/>
    <w:semiHidden/>
    <w:unhideWhenUsed/>
    <w:qFormat/>
    <w:rsid w:val="00b9462a"/>
    <w:pPr>
      <w:keepNext/>
      <w:keepLines/>
      <w:spacing w:before="40" w:after="0"/>
      <w:outlineLvl w:val="1"/>
    </w:pPr>
    <w:rPr>
      <w:rFonts w:eastAsia="" w:cs="" w:cstheme="majorBidi" w:eastAsiaTheme="majorEastAsia"/>
      <w:color w:val="2E74B5" w:themeColor="accent1" w:themeShade="bf"/>
      <w:sz w:val="26"/>
      <w:szCs w:val="26"/>
    </w:rPr>
  </w:style>
  <w:style w:type="paragraph" w:styleId="Nadpis3">
    <w:name w:val="Heading 3"/>
    <w:basedOn w:val="Normal"/>
    <w:link w:val="Nadpis3Char"/>
    <w:uiPriority w:val="9"/>
    <w:semiHidden/>
    <w:unhideWhenUsed/>
    <w:qFormat/>
    <w:rsid w:val="00c908bd"/>
    <w:pPr>
      <w:keepNext/>
      <w:keepLines/>
      <w:spacing w:lineRule="auto" w:line="276" w:before="200" w:after="0"/>
      <w:outlineLvl w:val="2"/>
    </w:pPr>
    <w:rPr>
      <w:rFonts w:ascii="Calibri Light" w:hAnsi="Calibri Light" w:eastAsia="" w:cs="" w:asciiTheme="majorHAnsi" w:cstheme="majorBidi" w:eastAsiaTheme="majorEastAsia" w:hAnsiTheme="majorHAnsi"/>
      <w:b/>
      <w:bCs/>
      <w:color w:val="5B9BD5" w:themeColor="accent1"/>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3e5669"/>
    <w:rPr/>
  </w:style>
  <w:style w:type="character" w:styleId="ZpatChar" w:customStyle="1">
    <w:name w:val="Zápatí Char"/>
    <w:basedOn w:val="DefaultParagraphFont"/>
    <w:link w:val="Zpat"/>
    <w:uiPriority w:val="99"/>
    <w:qFormat/>
    <w:rsid w:val="003e5669"/>
    <w:rPr/>
  </w:style>
  <w:style w:type="character" w:styleId="Nadpis1Char" w:customStyle="1">
    <w:name w:val="Nadpis 1 Char"/>
    <w:basedOn w:val="DefaultParagraphFont"/>
    <w:link w:val="Nadpis1"/>
    <w:uiPriority w:val="9"/>
    <w:qFormat/>
    <w:rsid w:val="00b9462a"/>
    <w:rPr>
      <w:rFonts w:ascii="Arial" w:hAnsi="Arial" w:eastAsia="" w:cs="" w:cstheme="majorBidi" w:eastAsiaTheme="majorEastAsia"/>
      <w:b/>
      <w:bCs/>
      <w:color w:val="2E74B5" w:themeColor="accent1" w:themeShade="bf"/>
      <w:sz w:val="28"/>
      <w:szCs w:val="28"/>
    </w:rPr>
  </w:style>
  <w:style w:type="character" w:styleId="Nadpis3Char" w:customStyle="1">
    <w:name w:val="Nadpis 3 Char"/>
    <w:basedOn w:val="DefaultParagraphFont"/>
    <w:link w:val="Nadpis3"/>
    <w:uiPriority w:val="9"/>
    <w:semiHidden/>
    <w:qFormat/>
    <w:rsid w:val="00c908bd"/>
    <w:rPr>
      <w:rFonts w:ascii="Calibri Light" w:hAnsi="Calibri Light" w:eastAsia="" w:cs="" w:asciiTheme="majorHAnsi" w:cstheme="majorBidi" w:eastAsiaTheme="majorEastAsia" w:hAnsiTheme="majorHAnsi"/>
      <w:b/>
      <w:bCs/>
      <w:color w:val="5B9BD5" w:themeColor="accent1"/>
    </w:rPr>
  </w:style>
  <w:style w:type="character" w:styleId="Strong">
    <w:name w:val="Strong"/>
    <w:basedOn w:val="DefaultParagraphFont"/>
    <w:uiPriority w:val="22"/>
    <w:qFormat/>
    <w:rsid w:val="00c908bd"/>
    <w:rPr>
      <w:b/>
      <w:bCs/>
    </w:rPr>
  </w:style>
  <w:style w:type="character" w:styleId="Internetovodkaz">
    <w:name w:val="Internetový odkaz"/>
    <w:basedOn w:val="DefaultParagraphFont"/>
    <w:uiPriority w:val="99"/>
    <w:unhideWhenUsed/>
    <w:rsid w:val="00c908bd"/>
    <w:rPr>
      <w:color w:val="0000FF"/>
      <w:u w:val="single"/>
    </w:rPr>
  </w:style>
  <w:style w:type="character" w:styleId="FollowedHyperlink">
    <w:name w:val="FollowedHyperlink"/>
    <w:basedOn w:val="DefaultParagraphFont"/>
    <w:uiPriority w:val="99"/>
    <w:semiHidden/>
    <w:unhideWhenUsed/>
    <w:qFormat/>
    <w:rsid w:val="000b62e9"/>
    <w:rPr>
      <w:color w:val="954F72" w:themeColor="followedHyperlink"/>
      <w:u w:val="single"/>
    </w:rPr>
  </w:style>
  <w:style w:type="character" w:styleId="TextbublinyChar" w:customStyle="1">
    <w:name w:val="Text bubliny Char"/>
    <w:basedOn w:val="DefaultParagraphFont"/>
    <w:link w:val="Textbubliny"/>
    <w:uiPriority w:val="99"/>
    <w:semiHidden/>
    <w:qFormat/>
    <w:rsid w:val="000b62e9"/>
    <w:rPr>
      <w:rFonts w:ascii="Segoe UI" w:hAnsi="Segoe UI" w:cs="Segoe UI"/>
      <w:sz w:val="18"/>
      <w:szCs w:val="18"/>
    </w:rPr>
  </w:style>
  <w:style w:type="character" w:styleId="Annotationreference">
    <w:name w:val="annotation reference"/>
    <w:basedOn w:val="DefaultParagraphFont"/>
    <w:uiPriority w:val="99"/>
    <w:semiHidden/>
    <w:unhideWhenUsed/>
    <w:qFormat/>
    <w:rsid w:val="00c46f61"/>
    <w:rPr>
      <w:sz w:val="16"/>
      <w:szCs w:val="16"/>
    </w:rPr>
  </w:style>
  <w:style w:type="character" w:styleId="TextkomenteChar" w:customStyle="1">
    <w:name w:val="Text komentáře Char"/>
    <w:basedOn w:val="DefaultParagraphFont"/>
    <w:link w:val="Textkomente"/>
    <w:uiPriority w:val="99"/>
    <w:qFormat/>
    <w:rsid w:val="00c46f61"/>
    <w:rPr>
      <w:sz w:val="20"/>
      <w:szCs w:val="20"/>
    </w:rPr>
  </w:style>
  <w:style w:type="character" w:styleId="PedmtkomenteChar" w:customStyle="1">
    <w:name w:val="Předmět komentáře Char"/>
    <w:basedOn w:val="TextkomenteChar"/>
    <w:link w:val="Pedmtkomente"/>
    <w:uiPriority w:val="99"/>
    <w:semiHidden/>
    <w:qFormat/>
    <w:rsid w:val="00c46f61"/>
    <w:rPr>
      <w:b/>
      <w:bCs/>
      <w:sz w:val="20"/>
      <w:szCs w:val="20"/>
    </w:rPr>
  </w:style>
  <w:style w:type="character" w:styleId="Nadpis2Char" w:customStyle="1">
    <w:name w:val="Nadpis 2 Char"/>
    <w:basedOn w:val="DefaultParagraphFont"/>
    <w:link w:val="Nadpis2"/>
    <w:uiPriority w:val="9"/>
    <w:semiHidden/>
    <w:qFormat/>
    <w:rsid w:val="00b9462a"/>
    <w:rPr>
      <w:rFonts w:ascii="Arial" w:hAnsi="Arial" w:eastAsia="" w:cs="" w:cstheme="majorBidi" w:eastAsiaTheme="majorEastAsia"/>
      <w:color w:val="2E74B5" w:themeColor="accent1" w:themeShade="bf"/>
      <w:sz w:val="26"/>
      <w:szCs w:val="26"/>
    </w:rPr>
  </w:style>
  <w:style w:type="character" w:styleId="NzevChar" w:customStyle="1">
    <w:name w:val="Název Char"/>
    <w:basedOn w:val="DefaultParagraphFont"/>
    <w:link w:val="Nzev"/>
    <w:uiPriority w:val="10"/>
    <w:qFormat/>
    <w:rsid w:val="00b9462a"/>
    <w:rPr>
      <w:rFonts w:ascii="Arial" w:hAnsi="Arial" w:eastAsia="" w:cs="" w:cstheme="majorBidi" w:eastAsiaTheme="majorEastAsia"/>
      <w:spacing w:val="-10"/>
      <w:sz w:val="56"/>
      <w:szCs w:val="56"/>
    </w:rPr>
  </w:style>
  <w:style w:type="character" w:styleId="OdstavecseseznamemChar" w:customStyle="1">
    <w:name w:val="Odstavec se seznamem Char"/>
    <w:link w:val="Odstavecseseznamem"/>
    <w:qFormat/>
    <w:rsid w:val="00f26337"/>
    <w:rPr/>
  </w:style>
  <w:style w:type="character" w:styleId="Hps" w:customStyle="1">
    <w:name w:val="hps"/>
    <w:qFormat/>
    <w:rsid w:val="00f26337"/>
    <w:rPr>
      <w:shd w:fill="FFFFFF" w:val="clear"/>
    </w:rPr>
  </w:style>
  <w:style w:type="character" w:styleId="ZkladntextChar" w:customStyle="1">
    <w:name w:val="Základní text Char"/>
    <w:basedOn w:val="DefaultParagraphFont"/>
    <w:link w:val="Zkladntext"/>
    <w:qFormat/>
    <w:rsid w:val="00f26337"/>
    <w:rPr>
      <w:rFonts w:ascii="TimesNewRoman" w:hAnsi="TimesNewRoman" w:eastAsia="Times New Roman" w:cs="Arial"/>
      <w:sz w:val="24"/>
      <w:szCs w:val="20"/>
      <w:lang w:eastAsia="cs-CZ"/>
    </w:rPr>
  </w:style>
  <w:style w:type="character" w:styleId="TextpoznpodarouChar" w:customStyle="1">
    <w:name w:val="Text pozn. pod čarou Char"/>
    <w:basedOn w:val="DefaultParagraphFont"/>
    <w:link w:val="Textpoznpodarou"/>
    <w:qFormat/>
    <w:rsid w:val="00f26337"/>
    <w:rPr>
      <w:rFonts w:ascii="Times New Roman" w:hAnsi="Times New Roman" w:eastAsia="Times New Roman" w:cs="Times New Roman"/>
      <w:sz w:val="20"/>
      <w:szCs w:val="20"/>
      <w:lang w:eastAsia="cs-CZ"/>
    </w:rPr>
  </w:style>
  <w:style w:type="character" w:styleId="Footnotereference">
    <w:name w:val="footnote reference"/>
    <w:basedOn w:val="DefaultParagraphFont"/>
    <w:qFormat/>
    <w:rsid w:val="00b54d86"/>
    <w:rPr>
      <w:rFonts w:cs="Times New Roman"/>
      <w:vertAlign w:val="superscrip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rPr>
  </w:style>
  <w:style w:type="character" w:styleId="ListLabel22">
    <w:name w:val="ListLabel 22"/>
    <w:qFormat/>
    <w:rPr>
      <w:b w:val="false"/>
    </w:rPr>
  </w:style>
  <w:style w:type="character" w:styleId="ListLabel23">
    <w:name w:val="ListLabel 23"/>
    <w:qFormat/>
    <w:rPr>
      <w:rFonts w:cs="Arial"/>
      <w:b w:val="false"/>
      <w:sz w:val="22"/>
      <w:szCs w:val="22"/>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Body Text"/>
    <w:basedOn w:val="Normal"/>
    <w:link w:val="ZkladntextChar"/>
    <w:unhideWhenUsed/>
    <w:rsid w:val="00f26337"/>
    <w:pPr>
      <w:spacing w:lineRule="auto" w:line="240" w:before="0" w:after="0"/>
    </w:pPr>
    <w:rPr>
      <w:rFonts w:ascii="TimesNewRoman" w:hAnsi="TimesNewRoman" w:eastAsia="Times New Roman" w:cs="Arial"/>
      <w:sz w:val="24"/>
      <w:szCs w:val="20"/>
      <w:lang w:eastAsia="cs-CZ"/>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Zhlav">
    <w:name w:val="Header"/>
    <w:basedOn w:val="Normal"/>
    <w:link w:val="ZhlavChar"/>
    <w:uiPriority w:val="99"/>
    <w:unhideWhenUsed/>
    <w:rsid w:val="003e5669"/>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3e5669"/>
    <w:pPr>
      <w:tabs>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c908bd"/>
    <w:pPr>
      <w:spacing w:lineRule="auto" w:line="240" w:beforeAutospacing="1" w:afterAutospacing="1"/>
    </w:pPr>
    <w:rPr>
      <w:rFonts w:ascii="Times New Roman" w:hAnsi="Times New Roman" w:eastAsia="Times New Roman" w:cs="Times New Roman"/>
      <w:sz w:val="24"/>
      <w:szCs w:val="24"/>
      <w:lang w:eastAsia="cs-CZ"/>
    </w:rPr>
  </w:style>
  <w:style w:type="paragraph" w:styleId="Default" w:customStyle="1">
    <w:name w:val="default"/>
    <w:basedOn w:val="Normal"/>
    <w:qFormat/>
    <w:rsid w:val="00c908bd"/>
    <w:pPr>
      <w:spacing w:lineRule="auto" w:line="240" w:beforeAutospacing="1" w:afterAutospacing="1"/>
    </w:pPr>
    <w:rPr>
      <w:rFonts w:ascii="Times New Roman" w:hAnsi="Times New Roman" w:eastAsia="Times New Roman" w:cs="Times New Roman"/>
      <w:sz w:val="24"/>
      <w:szCs w:val="24"/>
      <w:lang w:eastAsia="cs-CZ"/>
    </w:rPr>
  </w:style>
  <w:style w:type="paragraph" w:styleId="BalloonText">
    <w:name w:val="Balloon Text"/>
    <w:basedOn w:val="Normal"/>
    <w:link w:val="TextbublinyChar"/>
    <w:uiPriority w:val="99"/>
    <w:semiHidden/>
    <w:unhideWhenUsed/>
    <w:qFormat/>
    <w:rsid w:val="000b62e9"/>
    <w:pPr>
      <w:spacing w:lineRule="auto" w:line="240" w:before="0" w:after="0"/>
    </w:pPr>
    <w:rPr>
      <w:rFonts w:ascii="Segoe UI" w:hAnsi="Segoe UI" w:cs="Segoe UI"/>
      <w:sz w:val="18"/>
      <w:szCs w:val="18"/>
    </w:rPr>
  </w:style>
  <w:style w:type="paragraph" w:styleId="Annotationtext">
    <w:name w:val="annotation text"/>
    <w:basedOn w:val="Normal"/>
    <w:link w:val="TextkomenteChar"/>
    <w:uiPriority w:val="99"/>
    <w:unhideWhenUsed/>
    <w:qFormat/>
    <w:rsid w:val="00c46f61"/>
    <w:pPr>
      <w:spacing w:lineRule="auto" w:line="240"/>
    </w:pPr>
    <w:rPr>
      <w:sz w:val="20"/>
      <w:szCs w:val="20"/>
    </w:rPr>
  </w:style>
  <w:style w:type="paragraph" w:styleId="Annotationsubject">
    <w:name w:val="annotation subject"/>
    <w:basedOn w:val="Annotationtext"/>
    <w:link w:val="PedmtkomenteChar"/>
    <w:uiPriority w:val="99"/>
    <w:semiHidden/>
    <w:unhideWhenUsed/>
    <w:qFormat/>
    <w:rsid w:val="00c46f61"/>
    <w:pPr/>
    <w:rPr>
      <w:b/>
      <w:bCs/>
    </w:rPr>
  </w:style>
  <w:style w:type="paragraph" w:styleId="ListParagraph">
    <w:name w:val="List Paragraph"/>
    <w:basedOn w:val="Normal"/>
    <w:link w:val="OdstavecseseznamemChar"/>
    <w:qFormat/>
    <w:rsid w:val="00735ab8"/>
    <w:pPr>
      <w:spacing w:before="0" w:after="160"/>
      <w:ind w:left="720" w:hanging="0"/>
      <w:contextualSpacing/>
    </w:pPr>
    <w:rPr/>
  </w:style>
  <w:style w:type="paragraph" w:styleId="NoSpacing">
    <w:name w:val="No Spacing"/>
    <w:uiPriority w:val="1"/>
    <w:qFormat/>
    <w:rsid w:val="00b9462a"/>
    <w:pPr>
      <w:widowControl/>
      <w:bidi w:val="0"/>
      <w:spacing w:lineRule="auto" w:line="240" w:before="0" w:after="0"/>
      <w:jc w:val="left"/>
    </w:pPr>
    <w:rPr>
      <w:rFonts w:ascii="Arial" w:hAnsi="Arial" w:eastAsia="Calibri" w:cs="" w:cstheme="minorBidi" w:eastAsiaTheme="minorHAnsi"/>
      <w:color w:val="auto"/>
      <w:sz w:val="22"/>
      <w:szCs w:val="22"/>
      <w:lang w:val="cs-CZ" w:eastAsia="en-US" w:bidi="ar-SA"/>
    </w:rPr>
  </w:style>
  <w:style w:type="paragraph" w:styleId="Nzev">
    <w:name w:val="Title"/>
    <w:basedOn w:val="Normal"/>
    <w:link w:val="NzevChar"/>
    <w:uiPriority w:val="10"/>
    <w:qFormat/>
    <w:rsid w:val="00b9462a"/>
    <w:pPr>
      <w:spacing w:lineRule="auto" w:line="240" w:before="0" w:after="0"/>
      <w:contextualSpacing/>
    </w:pPr>
    <w:rPr>
      <w:rFonts w:eastAsia="" w:cs="" w:cstheme="majorBidi" w:eastAsiaTheme="majorEastAsia"/>
      <w:spacing w:val="-10"/>
      <w:sz w:val="56"/>
      <w:szCs w:val="56"/>
    </w:rPr>
  </w:style>
  <w:style w:type="paragraph" w:styleId="Mjstyl3" w:customStyle="1">
    <w:name w:val="Můj styl 3"/>
    <w:basedOn w:val="Normal"/>
    <w:qFormat/>
    <w:rsid w:val="00f26337"/>
    <w:pPr>
      <w:spacing w:lineRule="auto" w:line="240" w:before="120" w:after="120"/>
      <w:jc w:val="both"/>
    </w:pPr>
    <w:rPr>
      <w:rFonts w:eastAsia="Times New Roman" w:cs="Arial"/>
      <w:lang w:eastAsia="cs-CZ"/>
    </w:rPr>
  </w:style>
  <w:style w:type="paragraph" w:styleId="Footnotetext">
    <w:name w:val="footnote text"/>
    <w:basedOn w:val="Normal"/>
    <w:link w:val="TextpoznpodarouChar"/>
    <w:qFormat/>
    <w:rsid w:val="00f26337"/>
    <w:pPr>
      <w:keepLines/>
      <w:tabs>
        <w:tab w:val="left" w:pos="227" w:leader="none"/>
      </w:tabs>
      <w:spacing w:lineRule="auto" w:line="240" w:before="0" w:after="0"/>
      <w:ind w:left="227" w:hanging="227"/>
      <w:jc w:val="both"/>
    </w:pPr>
    <w:rPr>
      <w:rFonts w:ascii="Times New Roman" w:hAnsi="Times New Roman" w:eastAsia="Times New Roman" w:cs="Times New Roman"/>
      <w:sz w:val="20"/>
      <w:szCs w:val="20"/>
      <w:lang w:eastAsia="cs-CZ"/>
    </w:rPr>
  </w:style>
  <w:style w:type="paragraph" w:styleId="Default1" w:customStyle="1">
    <w:name w:val="Default"/>
    <w:qFormat/>
    <w:rsid w:val="00873916"/>
    <w:pPr>
      <w:widowControl/>
      <w:bidi w:val="0"/>
      <w:spacing w:lineRule="auto" w:line="240" w:before="0" w:after="0"/>
      <w:jc w:val="left"/>
    </w:pPr>
    <w:rPr>
      <w:rFonts w:cs="Arial" w:ascii="Arial" w:hAnsi="Arial" w:eastAsia="Calibri"/>
      <w:color w:val="000000"/>
      <w:sz w:val="24"/>
      <w:szCs w:val="24"/>
      <w:lang w:val="cs-CZ" w:eastAsia="en-US" w:bidi="ar-SA"/>
    </w:rPr>
  </w:style>
  <w:style w:type="paragraph" w:styleId="Normlnodst" w:customStyle="1">
    <w:name w:val="Normální_odst"/>
    <w:basedOn w:val="ListParagraph"/>
    <w:qFormat/>
    <w:rsid w:val="005c507d"/>
    <w:pPr>
      <w:spacing w:lineRule="auto" w:line="240" w:before="0" w:after="120"/>
      <w:jc w:val="both"/>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ec2c9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Mkatabulky1">
    <w:name w:val="Mřížka tabulky1"/>
    <w:basedOn w:val="Normlntabulka"/>
    <w:uiPriority w:val="39"/>
    <w:rsid w:val="005c507d"/>
    <w:pPr>
      <w:spacing w:after="0" w:line="240" w:lineRule="auto"/>
    </w:pPr>
    <w:rPr>
      <w:rFonts w:asciiTheme="minorHAnsi" w:hAnsiTheme="minorHAns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Relationship Id="rId12" Type="http://schemas.openxmlformats.org/officeDocument/2006/relationships/customXml" Target="../customXml/item5.xml"/><Relationship Id="rId13" Type="http://schemas.openxmlformats.org/officeDocument/2006/relationships/customXml" Target="../customXml/item6.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15OPMSMT0001-3-2527</_dlc_DocId>
    <_dlc_DocIdUrl xmlns="0104a4cd-1400-468e-be1b-c7aad71d7d5a">
      <Url>http://op.msmt.cz/_layouts/15/DocIdRedir.aspx?ID=15OPMSMT0001-3-2527</Url>
      <Description>15OPMSMT0001-3-2527</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5BDCA75A58C97E438F3C819E8D8D88E5" ma:contentTypeVersion="5" ma:contentTypeDescription="Vytvoří nový dokument" ma:contentTypeScope="" ma:versionID="65bad2ce7ad43b578ba6f17a3b5d2fcb">
  <xsd:schema xmlns:xsd="http://www.w3.org/2001/XMLSchema" xmlns:xs="http://www.w3.org/2001/XMLSchema" xmlns:p="http://schemas.microsoft.com/office/2006/metadata/properties" xmlns:ns1="http://schemas.microsoft.com/sharepoint/v3" xmlns:ns2="0104a4cd-1400-468e-be1b-c7aad71d7d5a" targetNamespace="http://schemas.microsoft.com/office/2006/metadata/properties" ma:root="true" ma:fieldsID="7b796d3f5dbe204093f5eaef157c0cde" ns1:_="" ns2:_="">
    <xsd:import namespace="http://schemas.microsoft.com/sharepoint/v3"/>
    <xsd:import namespace="0104a4cd-1400-468e-be1b-c7aad71d7d5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hidden="true" ma:internalName="PublishingStartDate" ma:readOnly="false">
      <xsd:simpleType>
        <xsd:restriction base="dms:Unknown"/>
      </xsd:simpleType>
    </xsd:element>
    <xsd:element name="PublishingExpirationDate" ma:index="9" nillable="true" ma:displayName="Datum ukončení plánování"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10" nillable="true" ma:displayName="Hodnota ID dokumentu" ma:description="Hodnota ID dokumentu přiřazená této položce" ma:internalName="_dlc_DocId" ma:readOnly="true">
      <xsd:simpleType>
        <xsd:restriction base="dms:Text"/>
      </xsd:simpleType>
    </xsd:element>
    <xsd:element name="_dlc_DocIdUrl" ma:index="11"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3"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 ds:uri="http://schemas.microsoft.com/sharepoint/v3"/>
  </ds:schemaRefs>
</ds:datastoreItem>
</file>

<file path=customXml/itemProps2.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3.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4.xml><?xml version="1.0" encoding="utf-8"?>
<ds:datastoreItem xmlns:ds="http://schemas.openxmlformats.org/officeDocument/2006/customXml" ds:itemID="{41B62396-B746-4485-B121-9F05BF1BA47D}">
  <ds:schemaRefs>
    <ds:schemaRef ds:uri="http://schemas.openxmlformats.org/officeDocument/2006/bibliography"/>
  </ds:schemaRefs>
</ds:datastoreItem>
</file>

<file path=customXml/itemProps5.xml><?xml version="1.0" encoding="utf-8"?>
<ds:datastoreItem xmlns:ds="http://schemas.openxmlformats.org/officeDocument/2006/customXml" ds:itemID="{A46E363D-B7F3-4EBB-B91A-EAA7FB8E7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BFD0BF-88D5-4864-839C-25EB7683042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LibreOffice/5.1.6.2$Windows_x86 LibreOffice_project/07ac168c60a517dba0f0d7bc7540f5afa45f0909</Application>
  <Pages>7</Pages>
  <Words>1249</Words>
  <CharactersWithSpaces>7371</CharactersWithSpaces>
  <Paragraphs>17</Paragraphs>
  <Company>MSMT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2016-11-09T12:12:00Z</dcterms:created>
  <dc:creator>Šefl Veronika</dc:creator>
  <dc:description>aktuální verze k úpravám</dc:description>
  <dc:language>cs-CZ</dc:language>
  <cp:lastModifiedBy>Pořistková Michaela</cp:lastModifiedBy>
  <cp:lastPrinted>2016-08-08T11:49:00Z</cp:lastPrinted>
  <dcterms:modified xsi:type="dcterms:W3CDTF">2016-11-09T12:15:00Z</dcterms:modified>
  <cp:revision>3</cp:revision>
  <dc:subject/>
  <dc:title>Dokument_obecný_2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MSMT</vt:lpwstr>
  </property>
  <property fmtid="{D5CDD505-2E9C-101B-9397-08002B2CF9AE}" pid="4" name="ContentTypeId">
    <vt:lpwstr>0x0101005BDCA75A58C97E438F3C819E8D8D88E5</vt:lpwstr>
  </property>
  <property fmtid="{D5CDD505-2E9C-101B-9397-08002B2CF9AE}" pid="5" name="DocSecurity">
    <vt:i4>0</vt:i4>
  </property>
  <property fmtid="{D5CDD505-2E9C-101B-9397-08002B2CF9AE}" pid="6" name="HyperlinksChanged">
    <vt:bool>0</vt:bool>
  </property>
  <property fmtid="{D5CDD505-2E9C-101B-9397-08002B2CF9AE}" pid="7" name="Koment??">
    <vt:lpwstr>aktuální verze calibri</vt:lpwstr>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y fmtid="{D5CDD505-2E9C-101B-9397-08002B2CF9AE}" pid="11" name="_dlc_DocIdItemGuid">
    <vt:lpwstr>38a4db4f-d33f-4594-bdd0-f0f97f9f9119</vt:lpwstr>
  </property>
</Properties>
</file>